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中共舟山市水务集团有限公司委员会</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关于巡察整改情况的通报</w:t>
      </w:r>
    </w:p>
    <w:p>
      <w:pPr>
        <w:rPr>
          <w:rFonts w:hint="eastAsia" w:ascii="方正小标宋简体" w:hAnsi="方正小标宋简体" w:eastAsia="方正小标宋简体" w:cs="方正小标宋简体"/>
          <w:sz w:val="44"/>
          <w:szCs w:val="44"/>
          <w:lang w:val="en-US" w:eastAsia="zh-CN"/>
        </w:rPr>
      </w:pP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根据市委部署，2023年3月1日至5月11日，市委第四巡察组对市水务集团党委进行了巡察。2023年7月18日，市委巡察组向市水务集团党委反馈了巡察意见。现将巡察整改情况予以公布。</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市水务集团党委把巡察整改作为重大政治任务来抓，始终站在讲政治、讲大局、讲党性的高度，深刻认识整改工作的重要性和紧迫性，切实将思想和行动统一到市委的部署要求上来，以高度的思想自觉正视问题，以强烈的紧迫意识改正问题，切实做好整改工作。一是提高政治站位，把握整改要求。对巡察反馈的问题，市水务集团党委坚决拥护、诚恳接受、照单全收、坚决整改；反馈会后立即召开党委会研究部署整改工作，把集团党员干部职工的思想和行动统一到市委和市委巡察组关于巡察整改工作的要求及集团党委关于巡察整改工作的部署上来，以实际行动抓好整改引领、做好整改示范；集团领导班子召开巡察整改专题民主生活会，聚焦巡察反馈意见，在“刀刃向内，刮骨疗毒”中，深刻剖析问题存在的原因，严肃开展批评和自我批评。二是加强组织领导，细化整改任务。集团党委坚决扛起巡察整改主体责任，党委书记履行整改“第一责任人”职责，成立市委巡察反馈意见整改落实工作领导小组，先后5次召开党委会研究部署巡察整改工作；制定并印发《中共舟山市水务集团有限公司委员会关于落实市委第四巡察组反馈意见的整改方案》，将巡察41个反馈意见细化成54个具体问题，提出147条整改措施，并根据即知即改、2个月整改期内（9月18日前）、12月底前、长期坚持4个时间节点，对整改事项进行了梳理汇总，要求各阶段整改任务必须按时高质量完成；坚持把解决问题与推进制度建设紧密结合，着力推动形成长效机制。三是坚持上下齐心，狠抓督导落实。建立清单化问题对照销号工作机制，做到每个问题都有安排部署和整改方案，每个举措都有具体抓手，每个任务都有明确时限，始终坚持解决一个、销号一个。同时，加强对巡察整改工作的跟踪督办，要求责任单位定期汇报整改进展情况，及时掌握整改进度，形成倒逼工作机制。整改落实工作领导小组办公室定期下沉查看整改情况，对整改工作敷衍，未能采取有效措施跟踪推进、履责不力的严肃处理，确保巡察整改从“纸上”落到“地上”。</w:t>
      </w:r>
    </w:p>
    <w:p>
      <w:pPr>
        <w:ind w:firstLine="640" w:firstLineChars="200"/>
        <w:rPr>
          <w:rFonts w:hint="eastAsia" w:ascii="仿宋_GB2312" w:hAnsi="仿宋_GB2312" w:eastAsia="仿宋_GB2312" w:cs="仿宋_GB2312"/>
          <w:color w:val="0000FF"/>
          <w:sz w:val="32"/>
          <w:szCs w:val="32"/>
          <w:lang w:val="en-US" w:eastAsia="zh-CN"/>
        </w:rPr>
      </w:pPr>
      <w:r>
        <w:rPr>
          <w:rFonts w:hint="eastAsia" w:ascii="仿宋_GB2312" w:hAnsi="仿宋_GB2312" w:eastAsia="仿宋_GB2312" w:cs="仿宋_GB2312"/>
          <w:sz w:val="32"/>
          <w:szCs w:val="32"/>
          <w:lang w:val="en-US" w:eastAsia="zh-CN"/>
        </w:rPr>
        <w:t>对巡察组移交的问题线索，及时进行分类处置，目前已办结10件，办结率90.91%。在巡察整改工作中，对违规违纪的，立案7件，了结7件，给予党纪处分3人（党内严重警告2人，党内警告1人）；政务处分4人（记过1人，警告3人）；诫勉2人，批评教育2人，提醒谈话1人；新制定制度13项；收回清退违规资</w:t>
      </w:r>
      <w:r>
        <w:rPr>
          <w:rFonts w:hint="eastAsia" w:ascii="仿宋_GB2312" w:hAnsi="仿宋_GB2312" w:eastAsia="仿宋_GB2312" w:cs="仿宋_GB2312"/>
          <w:color w:val="auto"/>
          <w:sz w:val="32"/>
          <w:szCs w:val="32"/>
          <w:lang w:val="en-US" w:eastAsia="zh-CN"/>
        </w:rPr>
        <w:t>金19.1841万元，挽回其他经济损失5.6066万元。</w:t>
      </w:r>
    </w:p>
    <w:p>
      <w:pPr>
        <w:numPr>
          <w:ilvl w:val="0"/>
          <w:numId w:val="0"/>
        </w:numPr>
        <w:ind w:firstLine="640" w:firstLineChars="200"/>
        <w:rPr>
          <w:rFonts w:hint="eastAsia" w:ascii="仿宋_GB2312" w:hAnsi="仿宋_GB2312" w:eastAsia="仿宋_GB2312" w:cs="仿宋_GB2312"/>
          <w:b/>
          <w:bCs/>
          <w:sz w:val="32"/>
          <w:szCs w:val="32"/>
          <w:lang w:val="en-US" w:eastAsia="zh-CN"/>
        </w:rPr>
      </w:pPr>
      <w:r>
        <w:rPr>
          <w:rFonts w:hint="eastAsia" w:ascii="黑体" w:hAnsi="黑体" w:eastAsia="黑体" w:cs="黑体"/>
          <w:b w:val="0"/>
          <w:bCs w:val="0"/>
          <w:sz w:val="32"/>
          <w:szCs w:val="32"/>
          <w:lang w:val="en-US" w:eastAsia="zh-CN"/>
        </w:rPr>
        <w:t>一、关于学习贯彻习近平总书记关于治水的重要论述及对舟山要开源聚水的指示精神不够深入问题的整改情况</w:t>
      </w:r>
    </w:p>
    <w:p>
      <w:pPr>
        <w:numPr>
          <w:ilvl w:val="0"/>
          <w:numId w:val="0"/>
        </w:numPr>
        <w:ind w:firstLine="641"/>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坚决学习贯彻落实习近平总书记关于治水的重要论述及对舟山要开源聚水的指示精神。一是党委班子进一步加强对习近平新时代中国特色社会主义思想的全面系统学习，坚持用新思想新理论武装头脑、指导工作。</w:t>
      </w:r>
      <w:r>
        <w:rPr>
          <w:rFonts w:hint="eastAsia" w:ascii="仿宋_GB2312" w:hAnsi="仿宋_GB2312" w:eastAsia="仿宋_GB2312" w:cs="仿宋_GB2312"/>
          <w:b w:val="0"/>
          <w:bCs w:val="0"/>
          <w:sz w:val="32"/>
          <w:szCs w:val="32"/>
          <w:lang w:val="en-US" w:eastAsia="zh-CN"/>
        </w:rPr>
        <w:t>2023年7月28日对习近平总书记关于治水的重要论述及对舟山要开源聚水的指示精神进行了补学，集团领导班子成员作了交流发言。下步将结合学习贯彻习近平新时代中国特色社会主义思想主题教育，计划在年内除领导班子成员参加上级组织的主题教育读书班以外，另外党委再组织2期读书班，4期中心组专题学习；集团党委书记及其他班子成员分别给基层党组织上1次党课，将习近平总书记重要讲话指示精神进一步贯彻落实到本地水资源提升利用、大陆引优质水、节约用水等水务各项具体中心工作中去。</w:t>
      </w:r>
      <w:r>
        <w:rPr>
          <w:rFonts w:hint="eastAsia" w:ascii="仿宋_GB2312" w:hAnsi="仿宋_GB2312" w:eastAsia="仿宋_GB2312" w:cs="仿宋_GB2312"/>
          <w:b/>
          <w:bCs/>
          <w:sz w:val="32"/>
          <w:szCs w:val="32"/>
          <w:lang w:val="en-US" w:eastAsia="zh-CN"/>
        </w:rPr>
        <w:t>二是不断开拓视野、提升格局，贯彻新发展理念，落实新发展举措。</w:t>
      </w:r>
      <w:r>
        <w:rPr>
          <w:rFonts w:hint="eastAsia" w:ascii="仿宋_GB2312" w:hAnsi="仿宋_GB2312" w:eastAsia="仿宋_GB2312" w:cs="仿宋_GB2312"/>
          <w:b w:val="0"/>
          <w:bCs w:val="0"/>
          <w:sz w:val="32"/>
          <w:szCs w:val="32"/>
          <w:lang w:val="en-US" w:eastAsia="zh-CN"/>
        </w:rPr>
        <w:t>配合做好舟山域外引优质水项目的前期规划工作，多次主动对接省、市水利行政部门，探讨谋划我市域外引优质水项目，下步将根据“浙江水网”建设规划，做好后续跟进工作；加快推进在建项目舟山市岛北输水管道提升工程、舟山市长春岭及团结水库供水管道工程的实施进度，计划2024年完工通水；抓紧完成舟山市虹桥水库至大沙水库隧洞连通工程前期工作并开工建设，按计划实施；充分利用已建的水务调度信息化系统，科学调配本地水资源，结合浙东引水贯通后大陆引水水源水质提高的有利时机，充分发挥本岛调蓄水库作用，提高本岛优质原水的使用比例。</w:t>
      </w:r>
      <w:r>
        <w:rPr>
          <w:rFonts w:hint="eastAsia" w:ascii="仿宋_GB2312" w:hAnsi="仿宋_GB2312" w:eastAsia="仿宋_GB2312" w:cs="仿宋_GB2312"/>
          <w:b/>
          <w:bCs/>
          <w:sz w:val="32"/>
          <w:szCs w:val="32"/>
          <w:lang w:val="en-US" w:eastAsia="zh-CN"/>
        </w:rPr>
        <w:t>三是切实增强生态环境保护意识，大力落实各项水源水质保护举措。</w:t>
      </w:r>
      <w:r>
        <w:rPr>
          <w:rFonts w:hint="eastAsia" w:ascii="仿宋_GB2312" w:hAnsi="仿宋_GB2312" w:eastAsia="仿宋_GB2312" w:cs="仿宋_GB2312"/>
          <w:b w:val="0"/>
          <w:bCs w:val="0"/>
          <w:sz w:val="32"/>
          <w:szCs w:val="32"/>
          <w:lang w:val="en-US" w:eastAsia="zh-CN"/>
        </w:rPr>
        <w:t>持续加强水源地保护，在做好日常巡查的基础上，通过摄像头、喇叭、无人机等信息化手段做到库区监控全覆盖。强化与城管、公安、环保等部门联动联防，尤其是下属10座水库在日常管理中加强和属地政府沟通，发现其他饮用水水库周边影响水质的行为及时向属地街道反馈，形成合力，力促水质持续向好；强化大陆引水源头的水质监测，制定了《水源地水质监测实施方案》，科学调配大陆引水水量，在大陆水质好的情况下多引水到本岛水库蓄存，确保供水水质安全。根据水质监测情况，及时向省钱塘江管理中心、宁波市河道管理中心汇报情况，要求加强水质保护及上游补充水源。</w:t>
      </w:r>
    </w:p>
    <w:p>
      <w:pPr>
        <w:numPr>
          <w:ilvl w:val="0"/>
          <w:numId w:val="0"/>
        </w:numPr>
        <w:ind w:firstLine="640" w:firstLineChars="200"/>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二、关于水资源节约尚有差距问题的整改情况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进一步加强水资源保护和利用工作。一是不断抓好水资源保护和利用，持续推动制度建设和体制创新。</w:t>
      </w:r>
      <w:r>
        <w:rPr>
          <w:rFonts w:hint="eastAsia" w:ascii="仿宋_GB2312" w:hAnsi="仿宋_GB2312" w:eastAsia="仿宋_GB2312" w:cs="仿宋_GB2312"/>
          <w:b w:val="0"/>
          <w:bCs w:val="0"/>
          <w:sz w:val="32"/>
          <w:szCs w:val="32"/>
          <w:lang w:val="en-US" w:eastAsia="zh-CN"/>
        </w:rPr>
        <w:t>集团每年初专题研究水资源保护和利用相关工作，完善水资源保护和利用相关制度，制定水资源保护和利用年度工作计划，督促落实具体工作举措，除了切实抓好库区红线内保护，发现红线外周边影响水源水质情况，及时向属地政府反馈相关意见建议；加快推进水务调度信息化系统建设，年底前完成2021至2022年的数据收集整理，并逐步向以前年份推进。补充升级软硬件功能，推广加强调度决策、生产监控及三防管理等模块在实际工作中的初步运用，实现蓄供水、应急排水等逐步向智能化过渡，最终实现精细化管理；根据实际情况，每年定期完善水库控运计划、应急预案等相关制度机制，加强对防汛防台抗旱等三防工作分析研判，提升精准管控能力，实现科学蓄水排水和调水；已完成年度水库控运计划、应急预案制定工作。</w:t>
      </w:r>
      <w:r>
        <w:rPr>
          <w:rFonts w:hint="eastAsia" w:ascii="仿宋_GB2312" w:hAnsi="仿宋_GB2312" w:eastAsia="仿宋_GB2312" w:cs="仿宋_GB2312"/>
          <w:b/>
          <w:bCs/>
          <w:sz w:val="32"/>
          <w:szCs w:val="32"/>
          <w:lang w:val="en-US" w:eastAsia="zh-CN"/>
        </w:rPr>
        <w:t>二是不断规范对企业单位用水、节水的管理和相关审批，提升用水、节水精细化管理水平。</w:t>
      </w:r>
      <w:r>
        <w:rPr>
          <w:rFonts w:hint="eastAsia" w:ascii="仿宋_GB2312" w:hAnsi="仿宋_GB2312" w:eastAsia="仿宋_GB2312" w:cs="仿宋_GB2312"/>
          <w:b w:val="0"/>
          <w:bCs w:val="0"/>
          <w:sz w:val="32"/>
          <w:szCs w:val="32"/>
          <w:lang w:val="en-US" w:eastAsia="zh-CN"/>
        </w:rPr>
        <w:t>配合市节水办出台《加强重点用水单位管理工作的通知》，并切实落实；严格执行《关于印发大耗水工业用水户和服务业用水户名录的通知》，制定了年耗水5万立方米以上用水户考核计划，并按季度开展考核；进一步加强超定额用水累进加价会商，细化明确水量调整和减免相关证明材料的范围和目录，并严格执行；建立大耗水用水户年度用水量确定部门联席会议制度，明确大耗水用水户超额用水累进加价联合审批制度和审批流程；认真执行《关于完善舟山市区城镇非居民用水超定额累进加价制度的通知》，积极对接市节水办，进一步细化和完善用水计划确定以及用水额度调整工作规程和内容，并严格落实；深化用水户的管理，在2023年管理范围1万吨用水户的基础上，将用水额度管理范围延伸到5000吨以上用水户，并在2024年第一季度下达；不断加强与市节水办的沟通协商机制，主动接受市节水办指导监督。</w:t>
      </w:r>
      <w:r>
        <w:rPr>
          <w:rFonts w:hint="eastAsia" w:ascii="仿宋_GB2312" w:hAnsi="仿宋_GB2312" w:eastAsia="仿宋_GB2312" w:cs="仿宋_GB2312"/>
          <w:b/>
          <w:bCs/>
          <w:sz w:val="32"/>
          <w:szCs w:val="32"/>
          <w:lang w:val="en-US" w:eastAsia="zh-CN"/>
        </w:rPr>
        <w:t>三是切实加强对节水工作的检查督促工作，制定针对性的工作举措，减少水资源浪费，提升水资源利用效率。</w:t>
      </w:r>
      <w:r>
        <w:rPr>
          <w:rFonts w:hint="eastAsia" w:ascii="仿宋_GB2312" w:hAnsi="仿宋_GB2312" w:eastAsia="仿宋_GB2312" w:cs="仿宋_GB2312"/>
          <w:b w:val="0"/>
          <w:bCs w:val="0"/>
          <w:sz w:val="32"/>
          <w:szCs w:val="32"/>
          <w:lang w:val="en-US" w:eastAsia="zh-CN"/>
        </w:rPr>
        <w:t>加强公共供水管网漏损控制，进一步降低公共供水管网漏损率。根据《舟山市2023年度节水行动计划》，12月底前完成新（改）建供水管网15公里、新建改造智能水表0.3万套、城市公共供水管网漏损率≤9％的节水工作任务；不断加强用户规范用水管理，加大用水规范、节水宣传，加强与行政执法部门的联动，杜绝用水户违章用水造成水资源浪费的现象；提高市自来水公司供水服务质量，对无法抄见的用户水表进行高频次跟踪和关注，通过人工检漏、安装智能远传水表等技术手段监控用户用水情况，及时告知并协助用户解决水表问题。已完成对无法抄见水表的检漏普查和年用水量5000吨以上非居民智能水表改造。</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三、关于安全供水存在隐患问题的整改情况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进一步抓好供水安全保障工作。</w:t>
      </w:r>
      <w:r>
        <w:rPr>
          <w:rFonts w:hint="eastAsia" w:ascii="仿宋_GB2312" w:hAnsi="仿宋_GB2312" w:eastAsia="仿宋_GB2312" w:cs="仿宋_GB2312"/>
          <w:b w:val="0"/>
          <w:bCs w:val="0"/>
          <w:sz w:val="32"/>
          <w:szCs w:val="32"/>
          <w:lang w:val="en-US" w:eastAsia="zh-CN"/>
        </w:rPr>
        <w:t>进一步增强对安全供水的忧患意识，认真分析研判安全供水形势，制定切实可行的具体解决方案，提升我市安全供水保障水平。根据水务集团“十四五”规划，加快推进舟山本岛水源提升利用综合工程和“库库联网”相关工程，如岛北输水管道提升、虹桥水库至大沙水库隧洞连通等工程，提高本岛水资源利用效率；强化水质监测，抓好姚江水质段面管控和本地水源水质采样检测，加强藻类等各类污染水质现象防控；建立海底管道安全防控长效机制，每隔2～3年开展一次；利用信息化管理，加强对供水设施和设备的在线监测，提升供水运行的可靠性和安全性。</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四、关于重大水利工程推进不力问题的整改情况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全力推进重大水务工程。一是不断提高担当作为意识，全力攻克节点难关，加快推进大陆引水三期工程建设进度。</w:t>
      </w:r>
      <w:r>
        <w:rPr>
          <w:rFonts w:hint="eastAsia" w:ascii="仿宋_GB2312" w:hAnsi="仿宋_GB2312" w:eastAsia="仿宋_GB2312" w:cs="仿宋_GB2312"/>
          <w:b w:val="0"/>
          <w:bCs w:val="0"/>
          <w:sz w:val="32"/>
          <w:szCs w:val="32"/>
          <w:lang w:val="en-US" w:eastAsia="zh-CN"/>
        </w:rPr>
        <w:t>深化专班工作机制，加强与铁路部门、宁波当地政府协调对接，加快推进解决工程建设中遇到的政策处理等各类问题；倒排工作计划，督促宁波陆上段施工单位加大人员和设备投入，已完成除涉铁段外的管道敷设；金塘岛引水工程项目推进工作组做好金塘岛引水工程施工组织和统筹安排，已完成海上段管道敷设。</w:t>
      </w:r>
      <w:r>
        <w:rPr>
          <w:rFonts w:hint="eastAsia" w:ascii="仿宋_GB2312" w:hAnsi="仿宋_GB2312" w:eastAsia="仿宋_GB2312" w:cs="仿宋_GB2312"/>
          <w:b/>
          <w:bCs/>
          <w:sz w:val="32"/>
          <w:szCs w:val="32"/>
          <w:lang w:val="en-US" w:eastAsia="zh-CN"/>
        </w:rPr>
        <w:t>二是进一步发力推动岑港水库扩容工程建设，</w:t>
      </w:r>
      <w:r>
        <w:rPr>
          <w:rFonts w:hint="eastAsia" w:ascii="仿宋_GB2312" w:hAnsi="仿宋_GB2312" w:eastAsia="仿宋_GB2312" w:cs="仿宋_GB2312"/>
          <w:b w:val="0"/>
          <w:bCs w:val="0"/>
          <w:sz w:val="32"/>
          <w:szCs w:val="32"/>
          <w:lang w:val="en-US" w:eastAsia="zh-CN"/>
        </w:rPr>
        <w:t>已进入实施阶段。</w:t>
      </w:r>
    </w:p>
    <w:p>
      <w:pPr>
        <w:numPr>
          <w:ilvl w:val="0"/>
          <w:numId w:val="0"/>
        </w:numPr>
        <w:ind w:firstLine="641"/>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五、关于数字水务建设推进不够有力问题的整改情况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Hans"/>
        </w:rPr>
      </w:pPr>
      <w:r>
        <w:rPr>
          <w:rFonts w:hint="eastAsia" w:ascii="仿宋_GB2312" w:hAnsi="仿宋_GB2312" w:eastAsia="仿宋_GB2312" w:cs="仿宋_GB2312"/>
          <w:b/>
          <w:bCs/>
          <w:sz w:val="32"/>
          <w:szCs w:val="32"/>
          <w:lang w:val="en-US" w:eastAsia="zh-CN"/>
        </w:rPr>
        <w:t>进一步加快推进水务数字化建设。一是加强</w:t>
      </w:r>
      <w:r>
        <w:rPr>
          <w:rFonts w:hint="eastAsia" w:ascii="仿宋_GB2312" w:hAnsi="仿宋_GB2312" w:eastAsia="仿宋_GB2312" w:cs="仿宋_GB2312"/>
          <w:b/>
          <w:bCs/>
          <w:sz w:val="32"/>
          <w:szCs w:val="32"/>
          <w:lang w:val="en-US" w:eastAsia="zh-Hans"/>
        </w:rPr>
        <w:t>水务数字化建设，不断提升信息化管理系统实际应用能力，加强对相关人才的储备培养。</w:t>
      </w:r>
      <w:r>
        <w:rPr>
          <w:rFonts w:hint="eastAsia" w:ascii="仿宋_GB2312" w:hAnsi="仿宋_GB2312" w:eastAsia="仿宋_GB2312" w:cs="仿宋_GB2312"/>
          <w:b w:val="0"/>
          <w:bCs w:val="0"/>
          <w:sz w:val="32"/>
          <w:szCs w:val="32"/>
          <w:lang w:val="en-US" w:eastAsia="zh-Hans"/>
        </w:rPr>
        <w:t>加快信息化项目验收，</w:t>
      </w:r>
      <w:r>
        <w:rPr>
          <w:rFonts w:hint="eastAsia" w:ascii="仿宋_GB2312" w:hAnsi="仿宋_GB2312" w:eastAsia="仿宋_GB2312" w:cs="仿宋_GB2312"/>
          <w:b w:val="0"/>
          <w:bCs w:val="0"/>
          <w:sz w:val="32"/>
          <w:szCs w:val="32"/>
          <w:lang w:val="en-US" w:eastAsia="zh-CN"/>
        </w:rPr>
        <w:t>11月底前完成信息化项目完工验收，待其他三期工程的子项目具备竣工验收条件后，共同启动竣工验收；</w:t>
      </w:r>
      <w:r>
        <w:rPr>
          <w:rFonts w:hint="eastAsia" w:ascii="仿宋_GB2312" w:hAnsi="仿宋_GB2312" w:eastAsia="仿宋_GB2312" w:cs="仿宋_GB2312"/>
          <w:b w:val="0"/>
          <w:bCs w:val="0"/>
          <w:sz w:val="32"/>
          <w:szCs w:val="32"/>
          <w:lang w:val="en-US" w:eastAsia="zh-Hans"/>
        </w:rPr>
        <w:t>加快建立数据治理与应用工作体系，成立信息化数据治理与应用工作专班，制定工作计划，各单位各部门落实专人分工协作；加强信息化技能的培训和学习，针对性</w:t>
      </w:r>
      <w:r>
        <w:rPr>
          <w:rFonts w:hint="eastAsia" w:ascii="仿宋_GB2312" w:hAnsi="仿宋_GB2312" w:eastAsia="仿宋_GB2312" w:cs="仿宋_GB2312"/>
          <w:b w:val="0"/>
          <w:bCs w:val="0"/>
          <w:sz w:val="32"/>
          <w:szCs w:val="32"/>
          <w:lang w:val="en-US" w:eastAsia="zh-CN"/>
        </w:rPr>
        <w:t>招聘</w:t>
      </w:r>
      <w:r>
        <w:rPr>
          <w:rFonts w:hint="eastAsia" w:ascii="仿宋_GB2312" w:hAnsi="仿宋_GB2312" w:eastAsia="仿宋_GB2312" w:cs="仿宋_GB2312"/>
          <w:b w:val="0"/>
          <w:bCs w:val="0"/>
          <w:sz w:val="32"/>
          <w:szCs w:val="32"/>
          <w:lang w:val="en-US" w:eastAsia="zh-Hans"/>
        </w:rPr>
        <w:t>引入信息化专业人才</w:t>
      </w:r>
      <w:r>
        <w:rPr>
          <w:rFonts w:hint="eastAsia" w:ascii="仿宋_GB2312" w:hAnsi="仿宋_GB2312" w:eastAsia="仿宋_GB2312" w:cs="仿宋_GB2312"/>
          <w:b w:val="0"/>
          <w:bCs w:val="0"/>
          <w:sz w:val="32"/>
          <w:szCs w:val="32"/>
          <w:lang w:val="en-US" w:eastAsia="zh-CN"/>
        </w:rPr>
        <w:t>2名</w:t>
      </w:r>
      <w:r>
        <w:rPr>
          <w:rFonts w:hint="eastAsia" w:ascii="仿宋_GB2312" w:hAnsi="仿宋_GB2312" w:eastAsia="仿宋_GB2312" w:cs="仿宋_GB2312"/>
          <w:b w:val="0"/>
          <w:bCs w:val="0"/>
          <w:sz w:val="32"/>
          <w:szCs w:val="32"/>
          <w:lang w:val="en-US" w:eastAsia="zh-Hans"/>
        </w:rPr>
        <w:t>，</w:t>
      </w:r>
      <w:r>
        <w:rPr>
          <w:rFonts w:hint="eastAsia" w:ascii="仿宋_GB2312" w:hAnsi="仿宋_GB2312" w:eastAsia="仿宋_GB2312" w:cs="仿宋_GB2312"/>
          <w:b w:val="0"/>
          <w:bCs w:val="0"/>
          <w:sz w:val="32"/>
          <w:szCs w:val="32"/>
          <w:lang w:val="en-US" w:eastAsia="zh-CN"/>
        </w:rPr>
        <w:t>不断</w:t>
      </w:r>
      <w:r>
        <w:rPr>
          <w:rFonts w:hint="eastAsia" w:ascii="仿宋_GB2312" w:hAnsi="仿宋_GB2312" w:eastAsia="仿宋_GB2312" w:cs="仿宋_GB2312"/>
          <w:b w:val="0"/>
          <w:bCs w:val="0"/>
          <w:sz w:val="32"/>
          <w:szCs w:val="32"/>
          <w:lang w:val="en-US" w:eastAsia="zh-Hans"/>
        </w:rPr>
        <w:t>提高信息中心信创工作水平、信息化专业能力。</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bCs/>
          <w:sz w:val="32"/>
          <w:szCs w:val="32"/>
          <w:lang w:val="en-US" w:eastAsia="zh-Hans"/>
        </w:rPr>
        <w:t>持续强化科技兴企，加大涉水行业技术的研发、引进和应用。</w:t>
      </w:r>
      <w:r>
        <w:rPr>
          <w:rFonts w:hint="eastAsia" w:ascii="仿宋_GB2312" w:hAnsi="仿宋_GB2312" w:eastAsia="仿宋_GB2312" w:cs="仿宋_GB2312"/>
          <w:b w:val="0"/>
          <w:bCs w:val="0"/>
          <w:sz w:val="32"/>
          <w:szCs w:val="32"/>
          <w:lang w:val="en-US" w:eastAsia="zh-Hans"/>
        </w:rPr>
        <w:t xml:space="preserve">不断提升市自来水公司技术管理和科技创新水平，已成立科技研发部，负责新技术的研发工作；持续推进智慧加药系统建设，岛北自来水厂已完成智慧加药消毒系统改造，实现次氯酸钠消毒液的自动投加，开始试运行；桃花自来水厂无人、少人值守的智慧化技术改造，目前完成硬件安装，正开展软件安装工作；按照“十四五”规划要求，发挥近年改造积累经验，逐步完成普陀水厂和岱山水厂智慧加药系统改造。  </w:t>
      </w:r>
    </w:p>
    <w:p>
      <w:pPr>
        <w:numPr>
          <w:ilvl w:val="0"/>
          <w:numId w:val="0"/>
        </w:numPr>
        <w:ind w:firstLine="641"/>
        <w:rPr>
          <w:rFonts w:hint="eastAsia" w:ascii="仿宋_GB2312" w:hAnsi="仿宋_GB2312" w:eastAsia="仿宋_GB2312" w:cs="仿宋_GB2312"/>
          <w:b w:val="0"/>
          <w:bCs w:val="0"/>
          <w:sz w:val="32"/>
          <w:szCs w:val="32"/>
          <w:lang w:val="en-US" w:eastAsia="zh-CN"/>
        </w:rPr>
      </w:pPr>
      <w:r>
        <w:rPr>
          <w:rFonts w:hint="eastAsia" w:ascii="黑体" w:hAnsi="黑体" w:eastAsia="黑体" w:cs="黑体"/>
          <w:b w:val="0"/>
          <w:bCs w:val="0"/>
          <w:sz w:val="32"/>
          <w:szCs w:val="32"/>
          <w:lang w:val="en-US" w:eastAsia="zh-CN"/>
        </w:rPr>
        <w:t>六、关于治污水顽瘴痼疾仍然存在问题的整改情况</w:t>
      </w:r>
    </w:p>
    <w:p>
      <w:pPr>
        <w:numPr>
          <w:ilvl w:val="0"/>
          <w:numId w:val="0"/>
        </w:numPr>
        <w:ind w:firstLine="641"/>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切实打好治水治污攻坚战。</w:t>
      </w:r>
      <w:r>
        <w:rPr>
          <w:rFonts w:hint="eastAsia" w:ascii="仿宋_GB2312" w:hAnsi="仿宋_GB2312" w:eastAsia="仿宋_GB2312" w:cs="仿宋_GB2312"/>
          <w:b w:val="0"/>
          <w:bCs w:val="0"/>
          <w:sz w:val="32"/>
          <w:szCs w:val="32"/>
          <w:lang w:val="en-US" w:eastAsia="zh-CN"/>
        </w:rPr>
        <w:t>认真贯彻生态文明理念，打好全市治污硬仗，扎实落实各项治污举措。加强污水源头的日常排摸和采样检测，溯本追源，逐步扩大采样检测范围，并及时将异常情况报告属地政府、生态环境和城管部门，与职能部门形成合力；加强工业纳管企业管理，市污水处理公司制定印发《排污企业管理制度（试行）》，完成勾山工业园区48家企业污水纳管处理协议的签约工作。在勾山区域实施重点排污企业“一厂一表一阀”机制，通过信息化手段，掌握纳管企业排污信息；加强内部运行管理，2023年8月29日，市污水处理公司组织公司领导及各部门负责人共21人开展生产运行管理相关制度的学习培训，进一步对生产运行相关管理制度进行梳理，并严格按制度执行，加强工艺管控，提升风险防范能力；已完成小干好氧发酵土堆场整改工作，今后将继续加强好氧发酵土“三防”管理措施。</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七、关于党对企业的全面领导落实不够到位，党委对做强做优做大企业意识不强、谋划不足问题的整改情况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加强党委对企业发展改革创新的领导。一是党委班子将不断加强对现代企业经营管理理念的系统学习，用新理念、新思路管理经营企业，不断提升企业创新驱动能力，扩大企业经营范围、增加收入渠道，夯实企业发展基础。</w:t>
      </w:r>
      <w:r>
        <w:rPr>
          <w:rFonts w:hint="eastAsia" w:ascii="仿宋_GB2312" w:hAnsi="仿宋_GB2312" w:eastAsia="仿宋_GB2312" w:cs="仿宋_GB2312"/>
          <w:b w:val="0"/>
          <w:bCs w:val="0"/>
          <w:sz w:val="32"/>
          <w:szCs w:val="32"/>
          <w:lang w:val="en-US" w:eastAsia="zh-CN"/>
        </w:rPr>
        <w:t>积极开展新业务，充分利用与华东院联合组建的浙江德创工程公司的机遇，整合集团内部工程建设力量，积极开展工程代建、施工等业务，近期拟首次以代建方式开展业务；充分发挥新成立的市水韵环境检测公司作用，在立足水务市场业务的基础上，开展水质检测业务，已面向水务行业内开展水质检测业务；培育提升公司资质，通过新业务的开展，提升两家新成立公司的资质业绩，为参与更加广泛的市场竞争做好准备；探索新的业务增长点，在市场需求的基础上，规范操作程序，谋划面向市场提供再生水供应等服务。</w:t>
      </w:r>
      <w:r>
        <w:rPr>
          <w:rFonts w:hint="eastAsia" w:ascii="仿宋_GB2312" w:hAnsi="仿宋_GB2312" w:eastAsia="仿宋_GB2312" w:cs="仿宋_GB2312"/>
          <w:b/>
          <w:bCs/>
          <w:sz w:val="32"/>
          <w:szCs w:val="32"/>
          <w:lang w:val="en-US" w:eastAsia="zh-CN"/>
        </w:rPr>
        <w:t>二是坚持贯彻党的群众路线，努力为职工群众办实事、办好事。</w:t>
      </w:r>
      <w:r>
        <w:rPr>
          <w:rFonts w:hint="eastAsia" w:ascii="仿宋_GB2312" w:hAnsi="仿宋_GB2312" w:eastAsia="仿宋_GB2312" w:cs="仿宋_GB2312"/>
          <w:b w:val="0"/>
          <w:bCs w:val="0"/>
          <w:sz w:val="32"/>
          <w:szCs w:val="32"/>
          <w:lang w:val="en-US" w:eastAsia="zh-CN"/>
        </w:rPr>
        <w:t>结合学习贯彻习近平新时代中国特色社会主义思想主题教育，进一步深化系统内“大走访大调研”活动，2023年党委班子成员下基层调研走访不少于6次，并完成相关调研报告，认真推动意见建议的具体落实，解决实际问题；加强与国资委相关处室的联系沟通，争取工资总额进一步提升，为绩效工资改革提供有力保障；加大绩效工资改革力度，已多次与市财政对接，政府以吨大陆引水成本、吨污水处理成本为基础购买服务事项，将再次细化相关方案，加强沟通对接，力争取得实质进展，在此基础上及时研究制定与企业功能性质相适应的薪酬分配办法。</w:t>
      </w:r>
    </w:p>
    <w:p>
      <w:pPr>
        <w:numPr>
          <w:ilvl w:val="0"/>
          <w:numId w:val="0"/>
        </w:numPr>
        <w:ind w:firstLine="640" w:firstLineChars="200"/>
        <w:rPr>
          <w:rFonts w:hint="eastAsia" w:ascii="仿宋_GB2312" w:hAnsi="仿宋_GB2312" w:eastAsia="仿宋_GB2312" w:cs="仿宋_GB2312"/>
          <w:b w:val="0"/>
          <w:bCs w:val="0"/>
          <w:sz w:val="32"/>
          <w:szCs w:val="32"/>
          <w:lang w:val="en-US" w:eastAsia="zh-CN"/>
        </w:rPr>
      </w:pPr>
      <w:r>
        <w:rPr>
          <w:rFonts w:hint="eastAsia" w:ascii="黑体" w:hAnsi="黑体" w:eastAsia="黑体" w:cs="黑体"/>
          <w:b w:val="0"/>
          <w:bCs w:val="0"/>
          <w:sz w:val="32"/>
          <w:szCs w:val="32"/>
          <w:lang w:val="en-US" w:eastAsia="zh-CN"/>
        </w:rPr>
        <w:t>八、关于党对企业的全面领导落实不够到位，部分“三重一大”事项未经党委会集体研究问题的整改情况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加强党委对“三重一大”事项集体决策的执行力度。</w:t>
      </w:r>
      <w:r>
        <w:rPr>
          <w:rFonts w:hint="eastAsia" w:ascii="仿宋_GB2312" w:hAnsi="仿宋_GB2312" w:eastAsia="仿宋_GB2312" w:cs="仿宋_GB2312"/>
          <w:b w:val="0"/>
          <w:bCs w:val="0"/>
          <w:sz w:val="32"/>
          <w:szCs w:val="32"/>
          <w:lang w:val="en-US" w:eastAsia="zh-CN"/>
        </w:rPr>
        <w:t>严格执行“三重一大”事项集体讨论研究决策机制，加强制度建设和执行监督。加强理论学习，提高政治站位，2023年7月20日集团党委理论学习中心组学习会上学习了习近平总书记关于国有企业党的建设重要论述，8月22日书面通知下属企业领导班子开展相应学习，下属所有企业领导班子均在8月31日前完成学习；修订完善集团《三重一大决议事项规则》，明确账户开设、大额资金存放等内容；强化执行监督，定期对集团本级及下属单位开展“三重一大”事项集体研究情况监督检查。</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九、关于党对企业的全面领导落实不够到位，落实意识形态工作责任制不到位问题的整改情况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加强党委对意识形态工作责任制的领导。</w:t>
      </w:r>
      <w:r>
        <w:rPr>
          <w:rFonts w:hint="eastAsia" w:ascii="仿宋_GB2312" w:hAnsi="仿宋_GB2312" w:eastAsia="仿宋_GB2312" w:cs="仿宋_GB2312"/>
          <w:b w:val="0"/>
          <w:bCs w:val="0"/>
          <w:sz w:val="32"/>
          <w:szCs w:val="32"/>
          <w:lang w:val="en-US" w:eastAsia="zh-CN"/>
        </w:rPr>
        <w:t>清醒认识意识形态工作的极端重要性，认真落实意识形态工作责任制。根据集团党委印发的《贯彻落实意识形态工作责任制实施意见》，进一步抓好落实集团意识形态工作责任制，每半年开展一次分析研判，及时发现水务系统舆情和职工思想动态中可能存在的问题，及时制定应对措施，并定期对下属各单位开展专项督导，定期分析研判水务系统舆情和职工思想动态中可能存在的问题，制定相应举措积极应对。如针对部分职工受生活后勤保障、企业文体活动、人才培养力度等因素影响，工作积极性有待提高问题，集团党委通过深化“领雁”培养、抓好群团建设、做好递进式人才锻炼等方式，全方位提高员工工作积极性；研究印发《舟山市水务集团党委中心组理论学习制度》，进一步规范中心组学习内容和形式，2023年开展10次党委中心组学习，下步严格按照制度抓好日常工作落实。</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十、关于现代企业法人治理结构不够完善问题的整改情况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进一步完善现代企业法人治理结构。</w:t>
      </w:r>
      <w:r>
        <w:rPr>
          <w:rFonts w:hint="eastAsia" w:ascii="仿宋_GB2312" w:hAnsi="仿宋_GB2312" w:eastAsia="仿宋_GB2312" w:cs="仿宋_GB2312"/>
          <w:b w:val="0"/>
          <w:bCs w:val="0"/>
          <w:sz w:val="32"/>
          <w:szCs w:val="32"/>
          <w:lang w:val="en-US" w:eastAsia="zh-CN"/>
        </w:rPr>
        <w:t>党委班子进一步加强对现代企业法人观念的学习，更加深刻领会现代企业法人制建设的重要意义和作用，不断完善集团现代企业法人治理结构。坚定不移落实习近平总书记关于国有企业“两个一以贯之”的重要论述精神，持续完善以党委、董事会、经理层“三级管理”为主的架构，在把党的领导融入公司治理各环节的同时，不断增强中国式现代化企业经营发展的内生动力和活力；厘清党委会、董事会、总经理办公会议事规则规定的议事内容，梳理形成集团《党委会董事会总经理办公会议事清单》，要求集团各单位各部门按清单要求分级提交相关审议事项；严格执行集团党委、董事会和总经理办公会议事规则的相关规定，按照规定时间召开会议，按照规定审议事项集体研究，推进党委、董事会、经理层各层面议事制度规定的系统协同。</w:t>
      </w:r>
    </w:p>
    <w:p>
      <w:pPr>
        <w:numPr>
          <w:ilvl w:val="0"/>
          <w:numId w:val="0"/>
        </w:numPr>
        <w:ind w:firstLine="641"/>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十一、关于国有资产保值增值能力不足问题的整改情况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进一步提升国有资产保值增值能力。一是进一步贯彻落实可持续发展理念，高度重视国有资产保值增值，认真研究落实债务风险防范和化解的实际举措，强化企业精细化管理，降本增效，减少企业亏损。</w:t>
      </w:r>
      <w:r>
        <w:rPr>
          <w:rFonts w:hint="eastAsia" w:ascii="仿宋_GB2312" w:hAnsi="仿宋_GB2312" w:eastAsia="仿宋_GB2312" w:cs="仿宋_GB2312"/>
          <w:b w:val="0"/>
          <w:bCs w:val="0"/>
          <w:sz w:val="32"/>
          <w:szCs w:val="32"/>
          <w:lang w:val="en-US" w:eastAsia="zh-CN"/>
        </w:rPr>
        <w:t>对接市财政局、市城管局，要求推进污水、污泥处理购买服务进程，增加现金流，降低资产负债率，提高融资能力；逐步推进隐债化解，已完成化解0.7亿元；要求加大财政支持力度，争取剥离政府债券置换10.25亿元；做强做大新成立的浙江德创工程公司和市水韵环境检测公司，增加营业收入，扩大市场份额，提高资产规模及质量，增加集团融资主体；对接银行、融资租赁及券商等，多渠道筹集资金，选择资金成本较低的融资方式，降低融资成本。</w:t>
      </w:r>
      <w:r>
        <w:rPr>
          <w:rFonts w:hint="eastAsia" w:ascii="仿宋_GB2312" w:hAnsi="仿宋_GB2312" w:eastAsia="仿宋_GB2312" w:cs="仿宋_GB2312"/>
          <w:b/>
          <w:bCs/>
          <w:sz w:val="32"/>
          <w:szCs w:val="32"/>
          <w:lang w:val="en-US" w:eastAsia="zh-CN"/>
        </w:rPr>
        <w:t>二是加强对浙江德创工程公司经营管理的指导监督。</w:t>
      </w:r>
      <w:r>
        <w:rPr>
          <w:rFonts w:hint="eastAsia" w:ascii="仿宋_GB2312" w:hAnsi="仿宋_GB2312" w:eastAsia="仿宋_GB2312" w:cs="仿宋_GB2312"/>
          <w:b w:val="0"/>
          <w:bCs w:val="0"/>
          <w:sz w:val="32"/>
          <w:szCs w:val="32"/>
          <w:lang w:val="en-US" w:eastAsia="zh-CN"/>
        </w:rPr>
        <w:t>分两步走推动浙江德创工程公司建设发展，近期在工程规范及集团相关制度允许的范围内争取以项目代建方式参与集团下属公司工程项目建设，加快推进已承接的舟山定海片区原水综合管理服务中心代建工程；同步与舟山开源供水有限责任公司签订舟山定海片综合管理服务中心化验室大楼专项设备采购及配套安装工程代建合同，年底完成项目总投资的55%；同时根据集团与中电建华东勘测设计研究院达成的合作意向，多次前往华东院、华东院宁波分院、华资企业，就如何落实合作意向内容沟通会谈，年内完成签订1000万元的工程合同额；多次组织职工参加市政、水利相关证书培训考试，为完成公司市政、水利资质的延续工作提供人员保障；配合开展虹桥水库至大沙水库隧洞连通工程前期工作，及时跟进掌握项目进程。远期将充分发挥公司股东华东院行业内优势，拓宽合作领域，不断提升公司市政、水利资质等级，提高市场化业务竞争力，并加强市场环境调研，推进目标成本管理，优化内部业务流程和服务品质，全力以赴拓市场、控成本、增效益，统筹发挥企业主责主业优势，把服务水务产业发展、城市建设和民生保障的核心业务做强做大做优，实现国有资产保值增值。</w:t>
      </w:r>
      <w:r>
        <w:rPr>
          <w:rFonts w:hint="eastAsia" w:ascii="仿宋_GB2312" w:hAnsi="仿宋_GB2312" w:eastAsia="仿宋_GB2312" w:cs="仿宋_GB2312"/>
          <w:b/>
          <w:bCs/>
          <w:sz w:val="32"/>
          <w:szCs w:val="32"/>
          <w:lang w:val="en-US" w:eastAsia="zh-CN"/>
        </w:rPr>
        <w:t>三是加强对市水韵环境检测公司经营管理的指导监督。</w:t>
      </w:r>
      <w:r>
        <w:rPr>
          <w:rFonts w:hint="eastAsia" w:ascii="仿宋_GB2312" w:hAnsi="仿宋_GB2312" w:eastAsia="仿宋_GB2312" w:cs="仿宋_GB2312"/>
          <w:b w:val="0"/>
          <w:bCs w:val="0"/>
          <w:sz w:val="32"/>
          <w:szCs w:val="32"/>
          <w:lang w:val="en-US" w:eastAsia="zh-CN"/>
        </w:rPr>
        <w:t>近期要求该公司开展好集团内部水质检测业务，2023年对原水23个检测点位，完成检测项目37个，共计检测数量约21000个（其中大陆引水检测数量约1300个）；污水7个检测点位，完成检测项目12个，共计检测数量约16000个，并认真规划中长期目标，积极向外部市场开拓，力争通过提升管理水平，加大培训力度，提高自身业务能力，尽快取得CMA、ISO9001等核心资质证书，积极参与市场竞争。</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十二、关于违规公务接待问题的整改情况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进一步规范公务接待。</w:t>
      </w:r>
      <w:r>
        <w:rPr>
          <w:rFonts w:hint="eastAsia" w:ascii="仿宋_GB2312" w:hAnsi="仿宋_GB2312" w:eastAsia="仿宋_GB2312" w:cs="仿宋_GB2312"/>
          <w:b w:val="0"/>
          <w:bCs w:val="0"/>
          <w:sz w:val="32"/>
          <w:szCs w:val="32"/>
          <w:lang w:val="en-US" w:eastAsia="zh-CN"/>
        </w:rPr>
        <w:t>加强对中央八项规定精神及其细则的贯彻落实，严格在系统内执行公务接待各项要求。强化学习，2023年9月7日召开集团中央八项规定精神专题学习会议，组织集团各部室相关工作人员及下属单位领导班子和办公室相关负责人共48人进行了专题学习，传达通报了近期市纪委查处5起违反中央八项规定精神问题和市委巡察市水务集团党委、纪委查办案件的处置情况，将集团违反中央八项规定精神人员处理情况通报到各基层；进一步强化对公务接待制度的执行力度，要求接待部门严格把关接待范围与标准，严格执行公务接待事前审批登记、事后规范报销等各项规定；进一步加强内部监督检查，定期开展自查自纠，要求财务部门严格票据合规性检查，内审部门定期开展相关审计检查，形成监督合力，规范接待管理。</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十三、关于违规配备使用公车问题的整改情况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进一步规范公车使用管理。</w:t>
      </w:r>
      <w:r>
        <w:rPr>
          <w:rFonts w:hint="eastAsia" w:ascii="仿宋_GB2312" w:hAnsi="仿宋_GB2312" w:eastAsia="仿宋_GB2312" w:cs="仿宋_GB2312"/>
          <w:b w:val="0"/>
          <w:bCs w:val="0"/>
          <w:sz w:val="32"/>
          <w:szCs w:val="32"/>
          <w:lang w:val="en-US" w:eastAsia="zh-CN"/>
        </w:rPr>
        <w:t>严格落实公车管理各项要求，加大对车辆管理相关人员的提醒教育力度，2023年8月30日召开集团车辆规范使用管理工作会议，组织集团车辆使用管理人员和全体驾驶员共28人进行了学习教育，增强相关人员的廉洁纪律意识，并对集团违反违规配备使用公车人员处理情况通报到各基层；规范车辆使用管理，严格按照上级有关规定要求报废购置车辆，明确车辆管理权限，强化车辆使用程序审批，除正常工作外，严禁违规借用私用、超范围使用；针对本次巡察反馈问题，舟山开源供水公司（市原水管理中心）制定完成普陀山工作车辆具体管理办法；加强对车辆管理制度执行的监督检查，不定期下沉一线检查车辆日常使用情况；对集团原办公室主任和市原水管理中心原普陀山管理处主任任职期间违规公车私用问题进行了严肃处理，集团原办公室主任于2023年8月21日受党内严重警告处分；市原水管理中心原普陀山管理处主任于2023年8月21日受党内警告处分。</w:t>
      </w:r>
    </w:p>
    <w:p>
      <w:pPr>
        <w:numPr>
          <w:ilvl w:val="0"/>
          <w:numId w:val="0"/>
        </w:numPr>
        <w:ind w:firstLine="641"/>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十四、关于违规吃喝问题的整改情况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进一步加大对违规吃喝的整治力度。</w:t>
      </w:r>
      <w:r>
        <w:rPr>
          <w:rFonts w:hint="eastAsia" w:ascii="仿宋_GB2312" w:hAnsi="仿宋_GB2312" w:eastAsia="仿宋_GB2312" w:cs="仿宋_GB2312"/>
          <w:b w:val="0"/>
          <w:bCs w:val="0"/>
          <w:sz w:val="32"/>
          <w:szCs w:val="32"/>
          <w:lang w:val="en-US" w:eastAsia="zh-CN"/>
        </w:rPr>
        <w:t>已对集团原办公室主任任职期间及原水中心普陀山管理处1名职工违规吃喝问题进行了追责问责，分别给予党内严重警告处分和政务警告处分。加强对公务接待审批报销程序的监督，定期开展相关抽查，对审批不到位、单据不规范的公务接待进行纠正。</w:t>
      </w:r>
    </w:p>
    <w:p>
      <w:pPr>
        <w:numPr>
          <w:ilvl w:val="0"/>
          <w:numId w:val="0"/>
        </w:numPr>
        <w:ind w:firstLine="641"/>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十五、关于车辆租赁、维修审核把关不严，违规列支相关费用问题的整改情况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强化车辆租赁、维修的审核把关力度。</w:t>
      </w:r>
      <w:r>
        <w:rPr>
          <w:rFonts w:hint="eastAsia" w:ascii="仿宋_GB2312" w:hAnsi="仿宋_GB2312" w:eastAsia="仿宋_GB2312" w:cs="仿宋_GB2312"/>
          <w:b w:val="0"/>
          <w:bCs w:val="0"/>
          <w:sz w:val="32"/>
          <w:szCs w:val="32"/>
          <w:lang w:val="en-US" w:eastAsia="zh-CN"/>
        </w:rPr>
        <w:t>认真吸取下属单位车辆使用管理不善的深刻教训，加强对下属单位车辆使用、维修等工作的指导和管理，举一反三，落实举措，切实提升内部管理水平。严肃查处市污水处理公司驾驶班两名职工利用工作便利违规谋利问题，2023年6月5日，给予一人政务警告处分，另一人给予政务记过处分；强化制度约束，严格执行车辆管理办法，下属单位已建立车辆维修、一车一卡管理台账，定期开展车辆使用情况自查；市污水处理公司已完成对车辆管理使用、维修保养、费用报销等环节的查漏补缺、优化完善；加强教育培训，增强主体责任意识，集团上下开展相关业务培训，不断提高实际工作能力。</w:t>
      </w:r>
    </w:p>
    <w:p>
      <w:pPr>
        <w:numPr>
          <w:ilvl w:val="0"/>
          <w:numId w:val="0"/>
        </w:numPr>
        <w:ind w:firstLine="641"/>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十六、关于违规支付电信费用问题的整改情况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进一步规范企业电信费支付事项。</w:t>
      </w:r>
      <w:r>
        <w:rPr>
          <w:rFonts w:hint="eastAsia" w:ascii="仿宋_GB2312" w:hAnsi="仿宋_GB2312" w:eastAsia="仿宋_GB2312" w:cs="仿宋_GB2312"/>
          <w:b w:val="0"/>
          <w:bCs w:val="0"/>
          <w:sz w:val="32"/>
          <w:szCs w:val="32"/>
          <w:lang w:val="en-US" w:eastAsia="zh-CN"/>
        </w:rPr>
        <w:t xml:space="preserve">进一步提高思想认识，加强电信费用等内部事务管理，努力攻克薄弱环节，堵塞管理漏洞。清理注销失去功能或不规范的固话、手机卡，舟山开源供水公司（市原水管理中心）和市污水处理公司已完成清理注销；加强制度建设，出台集团《通讯网络使用管理制度》，规范相关事项的办理审批程序，明确使用范围、办理标准，不得公话私用、公网私用，并做好台账登记工作；加强教育监督管理，加强对业务办理人员和使用人员的廉洁教育，组织相关35名经办人员对集团《通讯网络使用管理制度（试行）》等制度进行培训学习，并定期对电话、宽带规范使用情况进行检查。  </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十七、关于日常监管不到位问题的整改情况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加大对服务类采购、固定资产等事项的管理力度。一是着重抓好服务类事项的规范采购，保障集团正当权利和实际利益。</w:t>
      </w:r>
      <w:r>
        <w:rPr>
          <w:rFonts w:hint="eastAsia" w:ascii="仿宋_GB2312" w:hAnsi="仿宋_GB2312" w:eastAsia="仿宋_GB2312" w:cs="仿宋_GB2312"/>
          <w:b w:val="0"/>
          <w:bCs w:val="0"/>
          <w:sz w:val="32"/>
          <w:szCs w:val="32"/>
          <w:lang w:val="en-US" w:eastAsia="zh-CN"/>
        </w:rPr>
        <w:t>严格执行服务类采购规范程序，今后各类采购服务到期前，及时按照规定对采购事项进行招投标或履行相应决策程序；加强合同精细化管理，提升制度约束效力，制定集团《合同管理制度》，明确合同签订的审批程序、职责权限、履约条款等内容；加强对合同履约情况的监督检查，定期检查已签订合同的履行情况，及时发现并纠正存在的问题，确保合同能够按条款执行；对集团原办公室主任任职期间履职不力问题进行追责问责，其受到党内严重警告处分，向责任单位追回违约款54416元。</w:t>
      </w:r>
      <w:r>
        <w:rPr>
          <w:rFonts w:hint="eastAsia" w:ascii="仿宋_GB2312" w:hAnsi="仿宋_GB2312" w:eastAsia="仿宋_GB2312" w:cs="仿宋_GB2312"/>
          <w:b/>
          <w:bCs/>
          <w:sz w:val="32"/>
          <w:szCs w:val="32"/>
          <w:lang w:val="en-US" w:eastAsia="zh-CN"/>
        </w:rPr>
        <w:t>二是加强对集团固定资产的管理，认真落实各项有效举措，确保固定资产管理有序、规范。</w:t>
      </w:r>
      <w:r>
        <w:rPr>
          <w:rFonts w:hint="eastAsia" w:ascii="仿宋_GB2312" w:hAnsi="仿宋_GB2312" w:eastAsia="仿宋_GB2312" w:cs="仿宋_GB2312"/>
          <w:b w:val="0"/>
          <w:bCs w:val="0"/>
          <w:sz w:val="32"/>
          <w:szCs w:val="32"/>
          <w:lang w:val="en-US" w:eastAsia="zh-CN"/>
        </w:rPr>
        <w:t>加强制度建设，制定完成集团《固定资产管理制度》，明确固定资产的界定范围、责任部门、管理要求等内容；修订完成集团《资产处置监督管理办法》，明确处置类别、处置程序等内容。同时，下属各单位视实际需要制定或完善了内部制度；及时处理盘亏资产，对盘亏资产进行再次清点核对后，按照财务管理的相关规定进行财务处理；加大固定资产日常管理力度，落实专人管理，每年开展1次清点盘查，建立相应台账。</w:t>
      </w:r>
    </w:p>
    <w:p>
      <w:pPr>
        <w:numPr>
          <w:ilvl w:val="0"/>
          <w:numId w:val="1"/>
        </w:numPr>
        <w:ind w:firstLine="640" w:firstLineChars="200"/>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关于工程招投标制度有漏洞问题的整改情况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加强集团工程招投标制度建设。一是切实加强对集团工程前期工作的管理指导，特别是招投标工作，要求集团业务部门和下属单位严格执行集团招投标制度，根据上级有关要求，及时制定或修订相关制度，用制度管人、管事、管项目。</w:t>
      </w:r>
      <w:r>
        <w:rPr>
          <w:rFonts w:hint="eastAsia" w:ascii="仿宋_GB2312" w:hAnsi="仿宋_GB2312" w:eastAsia="仿宋_GB2312" w:cs="仿宋_GB2312"/>
          <w:b w:val="0"/>
          <w:bCs w:val="0"/>
          <w:sz w:val="32"/>
          <w:szCs w:val="32"/>
          <w:lang w:val="en-US" w:eastAsia="zh-CN"/>
        </w:rPr>
        <w:t>舟山开源供水公司（市原水管理中心）2023年3月22日重新制定了《限额以下项目招标管理办法》；市污水处理公司2023年3月21日新修订了《非公开招标管理办法》；已对具体事例中18个项目进行了梳理，舟山开源供水公司（市原水管理中心）和市污水处理公司分别于2023年7月27日和2023年8月29日组织工程工作人员对《关于在全省工程建设领域改革保证金制度的通知》《建设工程和采购项目的设计及实施方案变更管理办法》以及单位内部办法等招投标相关制度进行学习，共34人参加学习，提升具体管理人员的业务水平及制度执行力度。</w:t>
      </w:r>
      <w:r>
        <w:rPr>
          <w:rFonts w:hint="eastAsia" w:ascii="仿宋_GB2312" w:hAnsi="仿宋_GB2312" w:eastAsia="仿宋_GB2312" w:cs="仿宋_GB2312"/>
          <w:b/>
          <w:bCs/>
          <w:sz w:val="32"/>
          <w:szCs w:val="32"/>
          <w:lang w:val="en-US" w:eastAsia="zh-CN"/>
        </w:rPr>
        <w:t>二是加强对非必须招标内控管理的督查指导，严格按照招投标规范要求执行，加强相关制度建设，做到整改扎实、不反弹。</w:t>
      </w:r>
      <w:r>
        <w:rPr>
          <w:rFonts w:hint="eastAsia" w:ascii="仿宋_GB2312" w:hAnsi="仿宋_GB2312" w:eastAsia="仿宋_GB2312" w:cs="仿宋_GB2312"/>
          <w:b w:val="0"/>
          <w:bCs w:val="0"/>
          <w:sz w:val="32"/>
          <w:szCs w:val="32"/>
          <w:lang w:val="en-US" w:eastAsia="zh-CN"/>
        </w:rPr>
        <w:t>开展制度梳理，不断完善管理制度，市污水处理公司于2021年9月1日建立《非公开招标项目管理办法》，为进一步规范非公开招标相关行为，2023年3月21日对办法进行了修订完善，并认真按制度执行；加强监督检查，严格按制度执行，定期对相关制度执行情况进行监督检查。通过制度学习，增强责任意识，切实提高制度执行力度，2023年8月29日组织市污水处理公司领导及各部门负责人共21人对《非公开招标项目管理办法》等文件制度进行学习，并要求各相关业务部门要严格按制度执行。</w:t>
      </w:r>
    </w:p>
    <w:p>
      <w:pPr>
        <w:numPr>
          <w:ilvl w:val="0"/>
          <w:numId w:val="0"/>
        </w:numPr>
        <w:ind w:firstLine="640" w:firstLineChars="200"/>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十九、关于工程项目设计不科学问题的整改情况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进一步强化工程项目前期设计工作。</w:t>
      </w:r>
      <w:r>
        <w:rPr>
          <w:rFonts w:hint="eastAsia" w:ascii="仿宋_GB2312" w:hAnsi="仿宋_GB2312" w:eastAsia="仿宋_GB2312" w:cs="仿宋_GB2312"/>
          <w:b w:val="0"/>
          <w:bCs w:val="0"/>
          <w:sz w:val="32"/>
          <w:szCs w:val="32"/>
          <w:lang w:val="en-US" w:eastAsia="zh-CN"/>
        </w:rPr>
        <w:t>强化对工程项目科学设计的指导监督，落实具体举措，提升管理水平。加大工程监管力度，下属相关单位已制定完成工程内部审批手续的管理制度，并严格执行；舟山开源供水公司（市原水管理中心）和市污水处理公司分别于2023年7月27日和2023年8月29日组织相关工作人员共34人对《建设工程和采购项目的设计及实施方案变更管理办法》、单位内部办法等制度进行培训学习；在后续项目中做细、做好前期勘察与调研，细化设计方案，提升设计深度，严格履行图纸审查程序，最大程度减少变更。</w:t>
      </w:r>
    </w:p>
    <w:p>
      <w:pPr>
        <w:numPr>
          <w:ilvl w:val="0"/>
          <w:numId w:val="0"/>
        </w:numPr>
        <w:ind w:firstLine="640" w:firstLineChars="200"/>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二十、关于工程项目监管不到位，存在应招未招现象问题的整改情况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进一步规范工程涉矿事项管理。</w:t>
      </w:r>
      <w:r>
        <w:rPr>
          <w:rFonts w:hint="eastAsia" w:ascii="仿宋_GB2312" w:hAnsi="仿宋_GB2312" w:eastAsia="仿宋_GB2312" w:cs="仿宋_GB2312"/>
          <w:b w:val="0"/>
          <w:bCs w:val="0"/>
          <w:sz w:val="32"/>
          <w:szCs w:val="32"/>
          <w:lang w:val="en-US" w:eastAsia="zh-CN"/>
        </w:rPr>
        <w:t>后续严格执行《舟山市人民政府办公室关于加强不设采矿权的建设工程领域砂石土开采监督工作的通知》及集团招标相关制度，做到应招尽招；强化对涉矿领域方面的法律法规学习，2023年8月24日，组织相关工作人员6人对《舟山市人民政府办公室关于加强不设采矿权的建设工程领域砂石土开采监督工作的通知》《舟山市水务集团有限公司建设工程砂石土开采管理办法》等制度进行培训学习，在以后相关工程实施前加强与矿业主管部门的沟通，明确审批程序，工程实施过程中依法依规开展涉矿相关工作。</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二十一、关于工程项目监管不到位，邀请招标比重过大问题的整改情况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有效控制工程项目邀请招标比例。</w:t>
      </w:r>
      <w:r>
        <w:rPr>
          <w:rFonts w:hint="eastAsia" w:ascii="仿宋_GB2312" w:hAnsi="仿宋_GB2312" w:eastAsia="仿宋_GB2312" w:cs="仿宋_GB2312"/>
          <w:b w:val="0"/>
          <w:bCs w:val="0"/>
          <w:sz w:val="32"/>
          <w:szCs w:val="32"/>
          <w:lang w:val="en-US" w:eastAsia="zh-CN"/>
        </w:rPr>
        <w:t>加强工程招标的管理，严格控制邀请招标。加强统筹管理，已完成对集团2023年下半年招投标项目的汇总梳理，如条件允许，对同类型或同一区域的项目进行合并招标，已对14个零星项目合并归类为3个项目；加强工程管理，严格执行相关招投标制度；强化内部监督，严禁对工程项目故意拆分，市污水处理公司2023年8月29日组织公司领导及各部门负责人共21人对《非公开招标项目管理办法》《工程建设项目设计变更管理办法》《工程价款结算管理办法》等七项管理制度进行学习培训。</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二十二、关于工程项目监管不到位，部分工程存在串标问题的整改情况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进一步规范工程项目招标事宜。</w:t>
      </w:r>
      <w:r>
        <w:rPr>
          <w:rFonts w:hint="eastAsia" w:ascii="仿宋_GB2312" w:hAnsi="仿宋_GB2312" w:eastAsia="仿宋_GB2312" w:cs="仿宋_GB2312"/>
          <w:b w:val="0"/>
          <w:bCs w:val="0"/>
          <w:sz w:val="32"/>
          <w:szCs w:val="32"/>
          <w:lang w:val="en-US" w:eastAsia="zh-CN"/>
        </w:rPr>
        <w:t>加大工程项目监管力度，督促实施单位强化工程制度建设和过程管理。市污水处理公司制定印发《招标代理管理制度（试行）》，加强招投标全流程管理，对招标代理单位移交的相关资料进行审核；加强监督管理，定期对相关制度执行情况进行监督检查。通过制度学习，增强责任意识，切实提高制度执行力度。2023年9月6日，市污水处理公司组织公司领导、各部门负责人及相关业务经办员共13人对《招标代理管理制度（试行）》等制度进行学习，并要求各相关业务部门严格按制度执行。</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二十三、关于用水管理不严问题的整改情况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全面强化企业用水管理。一是加强对供水工作的管理指导，做到供水有依有据、合规合法。</w:t>
      </w:r>
      <w:r>
        <w:rPr>
          <w:rFonts w:hint="eastAsia" w:ascii="仿宋_GB2312" w:hAnsi="仿宋_GB2312" w:eastAsia="仿宋_GB2312" w:cs="仿宋_GB2312"/>
          <w:b w:val="0"/>
          <w:bCs w:val="0"/>
          <w:sz w:val="32"/>
          <w:szCs w:val="32"/>
          <w:lang w:val="en-US" w:eastAsia="zh-CN"/>
        </w:rPr>
        <w:t>制定了《对外企业供水管理制度（试行）》，明确了受水企业认定、供水管理决策、供水水量确定、供水价格制定等流程，按相关规定建立相应的定价机制，并向有关部门告知污水费收取事宜，尽到告知职责；规范决策程序，作为“三重一大”事项，坚持程序到位，根据用水企业申请，由供水企业领导班子集体研究讨论决定；加强人员教育培训，2023年8月30日组织7人次开展了《对外企业供水管理制度（试行）》《国有企业领导人员廉洁从业若干规定》等制度培训，增强廉洁意识，并加强日常监管；已对相关企业负责人进行了提醒谈话。</w:t>
      </w:r>
      <w:r>
        <w:rPr>
          <w:rFonts w:hint="eastAsia" w:ascii="仿宋_GB2312" w:hAnsi="仿宋_GB2312" w:eastAsia="仿宋_GB2312" w:cs="仿宋_GB2312"/>
          <w:b/>
          <w:bCs/>
          <w:sz w:val="32"/>
          <w:szCs w:val="32"/>
          <w:lang w:val="en-US" w:eastAsia="zh-CN"/>
        </w:rPr>
        <w:t>二是认真反思管理失察失管问题，严肃处理，并举一反三，加强对基层的督查指导。</w:t>
      </w:r>
      <w:r>
        <w:rPr>
          <w:rFonts w:hint="eastAsia" w:ascii="仿宋_GB2312" w:hAnsi="仿宋_GB2312" w:eastAsia="仿宋_GB2312" w:cs="仿宋_GB2312"/>
          <w:b w:val="0"/>
          <w:bCs w:val="0"/>
          <w:sz w:val="32"/>
          <w:szCs w:val="32"/>
          <w:lang w:val="en-US" w:eastAsia="zh-CN"/>
        </w:rPr>
        <w:t>对市原水管理中心普陀山管理处原水管理不规范等相关问题进行了调查核实，对市原水管理中心原普陀山管理处主任违规减免部分原水费用问题进行了追责问责，给予其党内警告处分。</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二十四、关于经营收入结算不及时问题的整改情况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抓好企业营业收入及时结算工作。</w:t>
      </w:r>
      <w:r>
        <w:rPr>
          <w:rFonts w:hint="eastAsia" w:ascii="仿宋_GB2312" w:hAnsi="仿宋_GB2312" w:eastAsia="仿宋_GB2312" w:cs="仿宋_GB2312"/>
          <w:b w:val="0"/>
          <w:bCs w:val="0"/>
          <w:sz w:val="32"/>
          <w:szCs w:val="32"/>
          <w:lang w:val="en-US" w:eastAsia="zh-CN"/>
        </w:rPr>
        <w:t>努力抓好企业精细化管理，做到按合同、按约定及时结算营业收入。加强合同管理，2023年8月30日和岱山有关公司签订《供取水协议书》，明确水费单价、抄表时间节点、结算周期、水费支付期限、违约条款等，并严格按协议约定执行；加强合同执行，及时催缴水费，如果仍有欠缴并催缴未果事情发生，将根据合同追究违约责任；2023年9月7日，舟山开源供水公司（市原水管理中心）组织了14人次对《合同管理制度（试行）》等制度进行培训学习；加强人员财务业务学习，2023年8月29日，舟山开源供水公司（市原水管理中心）组织了12人次对《资金支付管理办法（试行）》等制度进行培训，通过举一反三，杜绝其他原水供应收入结算不及时的情况发生；要求舟山开源供水公司（市原水管理中心）加强应收款、预付款的管理和收缴。</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二十五、关于党委主体责任履行不够到位问题的整改情况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进一步认真履行党委主体责任。</w:t>
      </w:r>
      <w:r>
        <w:rPr>
          <w:rFonts w:hint="eastAsia" w:ascii="仿宋_GB2312" w:hAnsi="仿宋_GB2312" w:eastAsia="仿宋_GB2312" w:cs="仿宋_GB2312"/>
          <w:b w:val="0"/>
          <w:bCs w:val="0"/>
          <w:sz w:val="32"/>
          <w:szCs w:val="32"/>
          <w:lang w:val="en-US" w:eastAsia="zh-CN"/>
        </w:rPr>
        <w:t>党委班子切实担负起党要管党职责，进一步认真履行班子主体责任，按照新时代党的建设总要求，落实各项具体工作举措。2023年6月1日印发集团《2023年全面从严治党工作要点》；2023年6月2日召开述职评议会议，听取下属单位“一把手”加强党的建设和述责述廉情况报告，并开展评议，述责述廉报告已在一定范围内公开；提高重视程度，压实“一岗双责”责任，建立集团党委班子党建工作提醒机制，明确阶段性工作任务和目标，有序推动落实 ，同时认真开展谈心谈话。重视对本单位违纪违法案件的学习，2023年8月完成水务党员干部关于“2023年3月市污水处理公司职工利用职务便利谋取私利案例”学习，筑牢思想防线；加强干部廉政档案填报管理，认真审核检查信息，健全档案资料内容，动态信息做到及时归档；严格落实省市关于构建亲清政商关系意见，2023年3月组织2022年5月以来集团提拔的7名中层干部完成《领导干部有关亲属从业及从事经营活动情况表》填报工作。督促污水公司建立健全干部廉政档案，及时开展信息填报、入档归档等工作。</w:t>
      </w:r>
    </w:p>
    <w:p>
      <w:pPr>
        <w:numPr>
          <w:ilvl w:val="0"/>
          <w:numId w:val="0"/>
        </w:numPr>
        <w:ind w:firstLine="640" w:firstLineChars="200"/>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二十六、关于监督执纪不够有力有效问题的整改情况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持续深化纪委执纪监督工作。</w:t>
      </w:r>
      <w:r>
        <w:rPr>
          <w:rFonts w:hint="eastAsia" w:ascii="仿宋_GB2312" w:hAnsi="仿宋_GB2312" w:eastAsia="仿宋_GB2312" w:cs="仿宋_GB2312"/>
          <w:b w:val="0"/>
          <w:bCs w:val="0"/>
          <w:sz w:val="32"/>
          <w:szCs w:val="32"/>
          <w:lang w:val="en-US" w:eastAsia="zh-CN"/>
        </w:rPr>
        <w:t>集团纪委不断提高政治站位，加大内部监督执纪力度，抓牢巡察整改窗口期，开展系统整治，扩大整改成效的辐射效应，推动水务党风廉政建设和全面从严治党工作向纵深延伸。认真处置巡察移交11件问题线索，相关违纪违规7人分别给予党内严重警告、党内警告、</w:t>
      </w:r>
      <w:bookmarkStart w:id="0" w:name="_GoBack"/>
      <w:bookmarkEnd w:id="0"/>
      <w:r>
        <w:rPr>
          <w:rFonts w:hint="eastAsia" w:ascii="仿宋_GB2312" w:hAnsi="仿宋_GB2312" w:eastAsia="仿宋_GB2312" w:cs="仿宋_GB2312"/>
          <w:b w:val="0"/>
          <w:bCs w:val="0"/>
          <w:sz w:val="32"/>
          <w:szCs w:val="32"/>
          <w:lang w:val="en-US" w:eastAsia="zh-CN"/>
        </w:rPr>
        <w:t>政务记过、警告处分；初核拟立案1件；3件线索分别以第一种形态批评教育、提醒谈话处置，通过严肃办案执纪，持续释放强烈的纪法震慑；围绕企业年度重点工作加强监督检查，集团纪委对岛北输水管道提升、虹桥水库至大沙水库隧洞等重点工程开展专项监督；进一步健全廉洁风险防控长效机制，围绕“三重一大”、资产管理、投融资风险管控等重点领域和关键环节，全面排查293个岗位，重点从岗位职责、工作机制、业务执行等方面，厘清廉洁风险点865个，建立防控措施和相关制度266项，促进企业规范运行；在违纪违法案卷台账资料不规范立行立改的基础上进一步提升完善，按履职规范化要求加强案卷台账建设，健全案卷内容，装订成册，做到一案一册。</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二十七、关于基层党建工作存在薄弱环节，“三会一课”制度落实不到位问题的整改情况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强化“三会一课”制度执行。</w:t>
      </w:r>
      <w:r>
        <w:rPr>
          <w:rFonts w:hint="eastAsia" w:ascii="仿宋_GB2312" w:hAnsi="仿宋_GB2312" w:eastAsia="仿宋_GB2312" w:cs="仿宋_GB2312"/>
          <w:b w:val="0"/>
          <w:bCs w:val="0"/>
          <w:sz w:val="32"/>
          <w:szCs w:val="32"/>
          <w:lang w:val="en-US" w:eastAsia="zh-CN"/>
        </w:rPr>
        <w:t>认真抓好“三会一课”学习，提高对“三会一课”制度的重视程度，督促和指导集团各级党组织认真落实、持续规范、标准执行。2023年8月25日下发整改工作提示单，要求各基层党组织在9月10日前完成“三会一课”制度专题学习，进一步深刻领会其重要意义，目前各基层党组织已全部完成专题学习；对各基层党组织执行年度“三会一课”情况进行督查，对不及时、不认真、不严肃地进行批评指正；即知即改，凡涉及党委（支委）重要学习、重要活动和重大事项，党委（支委）及时召开会议，并详细记录内容。</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二十八、关于基层党建工作存在薄弱环节，支部换届选举工作不够及时规范问题的整改情况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强化党支部换届选举工作。</w:t>
      </w:r>
      <w:r>
        <w:rPr>
          <w:rFonts w:hint="eastAsia" w:ascii="仿宋_GB2312" w:hAnsi="仿宋_GB2312" w:eastAsia="仿宋_GB2312" w:cs="仿宋_GB2312"/>
          <w:b w:val="0"/>
          <w:bCs w:val="0"/>
          <w:sz w:val="32"/>
          <w:szCs w:val="32"/>
          <w:lang w:val="en-US" w:eastAsia="zh-CN"/>
        </w:rPr>
        <w:t>严格按照党支部换届选举要求，及时开展党支部换届选举工作，通过查阅文件档案、核对浙里红色根脉强基系统、逐级排查自查等方式，在所属各基层党组织中开展换届摸底排查，对各党组织换届日期、支部书记任职情况、支部班子成员是否空缺等情况进行全面梳理，建立工作台账，精准掌握党组织换届情况，特别是对市污水处理公司党支部作为近期整改重点。</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二十九、关于基层党建工作存在薄弱环节，主题党日活动未按规定组织开展问题的整改情况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强化主题党日活动开展。</w:t>
      </w:r>
      <w:r>
        <w:rPr>
          <w:rFonts w:hint="eastAsia" w:ascii="仿宋_GB2312" w:hAnsi="仿宋_GB2312" w:eastAsia="仿宋_GB2312" w:cs="仿宋_GB2312"/>
          <w:b w:val="0"/>
          <w:bCs w:val="0"/>
          <w:sz w:val="32"/>
          <w:szCs w:val="32"/>
          <w:lang w:val="en-US" w:eastAsia="zh-CN"/>
        </w:rPr>
        <w:t>严格按照主题党日活动要求，及时开展各项主题党日活动，不断丰富主题党日活动形式，切实发挥主题党日活动在提升党员干部党性修养、工作能力的积极作用。督促指导集团所属各基层党组织制定完成2023年党日活动计划，根据计划开展各项活动，每月开展1次主题党日活动，并做好每月主题党日活动安排和活动开展情况支部会议记录，按时录入强基系统。</w:t>
      </w:r>
    </w:p>
    <w:p>
      <w:pPr>
        <w:numPr>
          <w:ilvl w:val="0"/>
          <w:numId w:val="0"/>
        </w:numPr>
        <w:ind w:firstLine="640" w:firstLineChars="200"/>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三十、关于干部队伍建设统筹谋划不够问题的整改情况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进一步落实党管人才原则。</w:t>
      </w:r>
      <w:r>
        <w:rPr>
          <w:rFonts w:hint="eastAsia" w:ascii="仿宋_GB2312" w:hAnsi="仿宋_GB2312" w:eastAsia="仿宋_GB2312" w:cs="仿宋_GB2312"/>
          <w:b w:val="0"/>
          <w:bCs w:val="0"/>
          <w:sz w:val="32"/>
          <w:szCs w:val="32"/>
          <w:lang w:val="en-US" w:eastAsia="zh-CN"/>
        </w:rPr>
        <w:t>深刻认识党管人才、党管队伍的重要意义，不断加强对干部队伍建设的系统谋划，努力形成“能者上、庸者下”的选拔和任用机制。有序推进集团中层领导人员跨单位、跨部门、跨岗位交流学习，丰富中层领导人员岗位工作经验；进一步推进部门之间、各部门与子企业间员工的轮岗机制，通过多岗位锻炼，进一步发掘员工潜力，激励员工成长；今年已完成一位集团中层干部跨单位担任下属公司领导班子成员；畅通年轻干部的晋升通道，打破传统论资排辈、平衡照顾等因素限制，因地制宜地完善干部竞争上岗、公开选拔、外地引入等选拔任用工作机制；2023年8月7日和8月16日，组织集团本级和下属单位职能部室共19名工作人员开展干部选拔任用、员工招聘以及人事档案规范培训会，进一步提升相关工作业务水平。</w:t>
      </w:r>
    </w:p>
    <w:p>
      <w:pPr>
        <w:numPr>
          <w:ilvl w:val="0"/>
          <w:numId w:val="0"/>
        </w:numPr>
        <w:ind w:firstLine="640"/>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三十一、关于干部队伍梯队建设还不够优化问题的整改情况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不断优化干部队伍梯队建设。</w:t>
      </w:r>
      <w:r>
        <w:rPr>
          <w:rFonts w:hint="eastAsia" w:ascii="仿宋_GB2312" w:hAnsi="仿宋_GB2312" w:eastAsia="仿宋_GB2312" w:cs="仿宋_GB2312"/>
          <w:b w:val="0"/>
          <w:bCs w:val="0"/>
          <w:sz w:val="32"/>
          <w:szCs w:val="32"/>
          <w:lang w:val="en-US" w:eastAsia="zh-CN"/>
        </w:rPr>
        <w:t>认真按照新时代党的组织路线要求，抓住干部储备、能力培养、实践锻炼等关键环节，不断深化水务干部队伍梯队化建设。重新梳理制定集团年轻后备干部人才库，2023年9月初下发《关于做好集团后备干部、优秀年轻干部初步人选推荐报送工作的通知》，目前下属各单位各部门已根据相关年龄、学历等资格推荐副职后备干部4名，优秀年轻干部21名；加快专业技术干部人才培育，完善技术人才梯队建设，深入开展多形式、常态化岗位练兵、业务交流等活动，2023年8月已完成集团2名水利工程系列高级职称人员加入浙江省水利工程评审委员会专家库成员相关推荐工作；进一步完善引才工作机制，加强与有关部门的沟通联系，争取对高技能人才给予更多的政策性支持，例如薪酬能打破工资总额限制，进行单列。</w:t>
      </w:r>
    </w:p>
    <w:p>
      <w:pPr>
        <w:numPr>
          <w:ilvl w:val="0"/>
          <w:numId w:val="0"/>
        </w:numPr>
        <w:ind w:firstLine="640"/>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三十二、关于干部职工日常管理不够到位，退休人员返聘管理制度不健全问题的整改情况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认真完善退休人员返聘管理。</w:t>
      </w:r>
      <w:r>
        <w:rPr>
          <w:rFonts w:hint="eastAsia" w:ascii="仿宋_GB2312" w:hAnsi="仿宋_GB2312" w:eastAsia="仿宋_GB2312" w:cs="仿宋_GB2312"/>
          <w:b w:val="0"/>
          <w:bCs w:val="0"/>
          <w:sz w:val="32"/>
          <w:szCs w:val="32"/>
          <w:lang w:val="en-US" w:eastAsia="zh-CN"/>
        </w:rPr>
        <w:t>高度重视退休人员返聘管理，从制度上予以规范，2023年9月13日出台集团《退休返聘人员管理制度》，并严格执行。</w:t>
      </w:r>
    </w:p>
    <w:p>
      <w:pPr>
        <w:numPr>
          <w:ilvl w:val="0"/>
          <w:numId w:val="0"/>
        </w:numPr>
        <w:ind w:firstLine="640"/>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三十三、关于干部职工日常管理不够到位，因私出国（境）审批管理较混乱问题的整改情况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严格执行因私出国出境审批程序。</w:t>
      </w:r>
      <w:r>
        <w:rPr>
          <w:rFonts w:hint="eastAsia" w:ascii="仿宋_GB2312" w:hAnsi="仿宋_GB2312" w:eastAsia="仿宋_GB2312" w:cs="仿宋_GB2312"/>
          <w:b w:val="0"/>
          <w:bCs w:val="0"/>
          <w:sz w:val="32"/>
          <w:szCs w:val="32"/>
          <w:lang w:val="en-US" w:eastAsia="zh-CN"/>
        </w:rPr>
        <w:t>强化日常教育，加强对集团人员出国（境）审批管理，杜绝此类现象再次发生。已于2023年7月31日前根据巡察反馈，对在职在编人员出入境证件进行了重新梳理和登记在册；对下属4家企业出入境证件的保管及领用进行了检查，并根据检查情况组织开展《公职人员因私出国（境）管理办法》学习会，要求下属企业对照检查反馈问题及时做到举一反三，做好整改工作；2023年9月4日对2018年未经审批出国的1名职工进行了批评教育。</w:t>
      </w:r>
    </w:p>
    <w:p>
      <w:pPr>
        <w:numPr>
          <w:ilvl w:val="0"/>
          <w:numId w:val="0"/>
        </w:numPr>
        <w:ind w:firstLine="640"/>
        <w:rPr>
          <w:rFonts w:hint="eastAsia" w:ascii="仿宋_GB2312" w:hAnsi="仿宋_GB2312" w:eastAsia="仿宋_GB2312" w:cs="仿宋_GB2312"/>
          <w:b w:val="0"/>
          <w:bCs w:val="0"/>
          <w:sz w:val="32"/>
          <w:szCs w:val="32"/>
          <w:lang w:val="en-US" w:eastAsia="zh-CN"/>
        </w:rPr>
      </w:pPr>
      <w:r>
        <w:rPr>
          <w:rFonts w:hint="eastAsia" w:ascii="黑体" w:hAnsi="黑体" w:eastAsia="黑体" w:cs="黑体"/>
          <w:b w:val="0"/>
          <w:bCs w:val="0"/>
          <w:sz w:val="32"/>
          <w:szCs w:val="32"/>
          <w:lang w:val="en-US" w:eastAsia="zh-CN"/>
        </w:rPr>
        <w:t>三十四、关于干部职工日常管理不够到位，长期借用下属单位人员问题的整改情况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进一步规范干部职工借用事项。</w:t>
      </w:r>
      <w:r>
        <w:rPr>
          <w:rFonts w:hint="eastAsia" w:ascii="仿宋_GB2312" w:hAnsi="仿宋_GB2312" w:eastAsia="仿宋_GB2312" w:cs="仿宋_GB2312"/>
          <w:b w:val="0"/>
          <w:bCs w:val="0"/>
          <w:sz w:val="32"/>
          <w:szCs w:val="32"/>
          <w:lang w:val="en-US" w:eastAsia="zh-CN"/>
        </w:rPr>
        <w:t>针对该问题，系统谋划相关举措，逐步整改和规范。已完成集团下属单位“三定方案”编制，进一步规划业务工作，优化岗位职责，科学配置人员，从源头上减少借调现象；完善企业人员内部流动管理，健全借调人员痕迹档案，从严把控人员借调期限。</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三十五、关于干部职工日常管理不够到位，实干争先的精气神不足问题的整改情况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持续提升系统内职工实干争先的精气神。</w:t>
      </w:r>
      <w:r>
        <w:rPr>
          <w:rFonts w:hint="eastAsia" w:ascii="仿宋_GB2312" w:hAnsi="仿宋_GB2312" w:eastAsia="仿宋_GB2312" w:cs="仿宋_GB2312"/>
          <w:b w:val="0"/>
          <w:bCs w:val="0"/>
          <w:sz w:val="32"/>
          <w:szCs w:val="32"/>
          <w:lang w:val="en-US" w:eastAsia="zh-CN"/>
        </w:rPr>
        <w:t>系统上下全面学习领会实干争先精神的实质内涵，强化具体工作举措，在系统内形成比学赶超、人人争先的良好工作氛围。畅通干部选拔任用渠道，打破论资排辈、身份限制等因素，注重选用表现特别优秀的各年龄段干部，提升干部队伍活力，2023年下属企业提拔3名中层干部充实到水务干部队伍，其中两名为80后；积极开展宣传树典型活动，结合市里实干争先活动，不断引领、带动、激发系统内干部职工干事创业热情；6月选树“浙江省担当作为好干部”1名、2023年度“红色引航”工程“四红”党务工作者1名。选派优秀党员干部职工到舟山市虹桥水库至大沙水库隧洞连通工程、岑港水库挖库扩容工程等列入市级“实干争先”重大项目中勇挑重担、担当作为，发挥先锋带头作用，加快各项重点任务推进速度。</w:t>
      </w:r>
    </w:p>
    <w:p>
      <w:pPr>
        <w:numPr>
          <w:ilvl w:val="0"/>
          <w:numId w:val="0"/>
        </w:numPr>
        <w:ind w:firstLine="641"/>
        <w:rPr>
          <w:rFonts w:hint="eastAsia" w:ascii="仿宋_GB2312" w:hAnsi="仿宋_GB2312" w:eastAsia="仿宋_GB2312" w:cs="仿宋_GB2312"/>
          <w:b/>
          <w:bCs/>
          <w:sz w:val="32"/>
          <w:szCs w:val="32"/>
          <w:lang w:val="en-US" w:eastAsia="zh-CN"/>
        </w:rPr>
      </w:pPr>
      <w:r>
        <w:rPr>
          <w:rFonts w:hint="eastAsia" w:ascii="黑体" w:hAnsi="黑体" w:eastAsia="黑体" w:cs="黑体"/>
          <w:b w:val="0"/>
          <w:bCs w:val="0"/>
          <w:sz w:val="32"/>
          <w:szCs w:val="32"/>
          <w:lang w:val="en-US" w:eastAsia="zh-CN"/>
        </w:rPr>
        <w:t>三十六、关于员工招聘程序不规范不严谨问题的整改情况</w:t>
      </w:r>
    </w:p>
    <w:p>
      <w:pPr>
        <w:numPr>
          <w:ilvl w:val="0"/>
          <w:numId w:val="0"/>
        </w:numPr>
        <w:ind w:firstLine="641"/>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进一步规范员工招聘程序。</w:t>
      </w:r>
      <w:r>
        <w:rPr>
          <w:rFonts w:hint="eastAsia" w:ascii="仿宋_GB2312" w:hAnsi="仿宋_GB2312" w:eastAsia="仿宋_GB2312" w:cs="仿宋_GB2312"/>
          <w:b w:val="0"/>
          <w:bCs w:val="0"/>
          <w:sz w:val="32"/>
          <w:szCs w:val="32"/>
          <w:lang w:val="en-US" w:eastAsia="zh-CN"/>
        </w:rPr>
        <w:t>不断规范相关程序，做到集团招聘规范有序。加强对集团《员工招聘管理办法》的学习，2023年8月16日组织8名相关人员完成培训；规范劳务派遣用工招聘程序，完成舟山市水务集团有限公司下属子公司编制分解方案及2023年度招聘计划，并报请市国资委获准批复；2023年8月下旬规范开展劳务派遣工择优转正工作；举一反三对下属各单位2023年以来劳务派遣工招聘情况进行了专项检查，发现的7个问题已于2023年9月15日前全部完成整改。</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三十七、关于执行干部选拔任用程序不规范问题的整改情况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进一步规范干部选拔任用程序。</w:t>
      </w:r>
      <w:r>
        <w:rPr>
          <w:rFonts w:hint="eastAsia" w:ascii="仿宋_GB2312" w:hAnsi="仿宋_GB2312" w:eastAsia="仿宋_GB2312" w:cs="仿宋_GB2312"/>
          <w:b w:val="0"/>
          <w:bCs w:val="0"/>
          <w:sz w:val="32"/>
          <w:szCs w:val="32"/>
          <w:lang w:val="en-US" w:eastAsia="zh-CN"/>
        </w:rPr>
        <w:t>切实加强对干部选拔任用工作的监督指导，全面规范干部选拔任用的各项工作程序。2023年8月7日组织召开干部人事档案管理规范学习会，进一步提升11名业务人员的档案管理水平；对2018年以来提拔的干部档案进行一次“回头看”，已根据相关工作要求落实整改；即知即改，今后党委在研究人事任免表决时一律采用票决形式。</w:t>
      </w:r>
    </w:p>
    <w:p>
      <w:pPr>
        <w:numPr>
          <w:ilvl w:val="0"/>
          <w:numId w:val="0"/>
        </w:numPr>
        <w:ind w:firstLine="640" w:firstLineChars="200"/>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三十八、关于干部纪实材料归档审核不严问题的整改情况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进一步规范干部纪实材料归档审核工作。</w:t>
      </w:r>
      <w:r>
        <w:rPr>
          <w:rFonts w:hint="eastAsia" w:ascii="仿宋_GB2312" w:hAnsi="仿宋_GB2312" w:eastAsia="仿宋_GB2312" w:cs="仿宋_GB2312"/>
          <w:b w:val="0"/>
          <w:bCs w:val="0"/>
          <w:sz w:val="32"/>
          <w:szCs w:val="32"/>
          <w:lang w:val="en-US" w:eastAsia="zh-CN"/>
        </w:rPr>
        <w:t>督促和指导集团各级人事部门认真抓好干部纪实材料归档审核工作，杜绝此类现象再次发生。已完成2022年度集团提拔8名中层干部试用期一年转正考察流程；已完成对近三年干部提拔档案的查漏补缺，确保做到一人一表、一批一档；严把民主推荐工作关口，民主测评完成后及时形成汇总表，保证干部选拔任用工作的规范性和严肃性。</w:t>
      </w:r>
    </w:p>
    <w:p>
      <w:pPr>
        <w:numPr>
          <w:ilvl w:val="0"/>
          <w:numId w:val="0"/>
        </w:numPr>
        <w:ind w:firstLine="640" w:firstLineChars="200"/>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三十九、关于部分干部选拔任用违反集团有关规定问题的整改情况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深化干部选拔任用先期把关审核工作。</w:t>
      </w:r>
      <w:r>
        <w:rPr>
          <w:rFonts w:hint="eastAsia" w:ascii="仿宋_GB2312" w:hAnsi="仿宋_GB2312" w:eastAsia="仿宋_GB2312" w:cs="仿宋_GB2312"/>
          <w:b w:val="0"/>
          <w:bCs w:val="0"/>
          <w:sz w:val="32"/>
          <w:szCs w:val="32"/>
          <w:lang w:val="en-US" w:eastAsia="zh-CN"/>
        </w:rPr>
        <w:t>严格执行集团干部选拔任用制度规定，开展工作前做好对照排查，杜绝此类现象再次发生。2023年8月7日召开干部选拔任用和人事档案培训会，对11名相关工作人员进行了培训，进一步规范干部提拔相关流程；对下属各单位2018年以来提拔干部情况进行了专项检查，并下发整改意见书，要求相关单位按照规定时间积极落实整改。</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四十、关于2019年，市委巡察组对水务集团党委指出的“违规公务接待，工程管理不到位，工程项目应招未招、结算金额增幅比例过大”问题的整改情况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全面加强对2019年巡察反馈问题的整改。一是进一步提高对中央长期落实八项规定精神决心的深刻认识，举一反三，认真研究长期行之有效的解决办法。</w:t>
      </w:r>
      <w:r>
        <w:rPr>
          <w:rFonts w:hint="eastAsia" w:ascii="仿宋_GB2312" w:hAnsi="仿宋_GB2312" w:eastAsia="仿宋_GB2312" w:cs="仿宋_GB2312"/>
          <w:b w:val="0"/>
          <w:bCs w:val="0"/>
          <w:sz w:val="32"/>
          <w:szCs w:val="32"/>
          <w:lang w:val="en-US" w:eastAsia="zh-CN"/>
        </w:rPr>
        <w:t>加强长期教育提醒工作，持之以恒推动相关教育学习活动开展，对严格执行中央八项规定精神和坚决规范公务接待在系统内形成广泛共识和高度重视。强化对公务接待制度的执行力度，接待部门严格把关接待范围与标准，严格执行公务接待事前审批登记、事后规范报销等各项规定。同时加强内部监督检查，财务部门严格票据合规性检查，内审部门定期开展相关审计检查，形成监督合力，规范接待管理。</w:t>
      </w:r>
      <w:r>
        <w:rPr>
          <w:rFonts w:hint="eastAsia" w:ascii="仿宋_GB2312" w:hAnsi="仿宋_GB2312" w:eastAsia="仿宋_GB2312" w:cs="仿宋_GB2312"/>
          <w:b/>
          <w:bCs/>
          <w:sz w:val="32"/>
          <w:szCs w:val="32"/>
          <w:lang w:val="en-US" w:eastAsia="zh-CN"/>
        </w:rPr>
        <w:t>二是进一步加强对集团工程建设的管理和督导，举一反三，认真研究长期行之有效的解决办法。</w:t>
      </w:r>
      <w:r>
        <w:rPr>
          <w:rFonts w:hint="eastAsia" w:ascii="仿宋_GB2312" w:hAnsi="仿宋_GB2312" w:eastAsia="仿宋_GB2312" w:cs="仿宋_GB2312"/>
          <w:b w:val="0"/>
          <w:bCs w:val="0"/>
          <w:sz w:val="32"/>
          <w:szCs w:val="32"/>
          <w:lang w:val="en-US" w:eastAsia="zh-CN"/>
        </w:rPr>
        <w:t>已完成集团工程管理制度修订完善，进一步加大集团工程建设监管力度；做好项目前期调研工作，对设计的深度和完善性进行充分论证，减少变更风险。对施工过程中发生的设计变更、工程量签证等严格按照制度执行；进一步规范招投标工作，加强招标管理和监督，确保招标工作公平、公正和有序开展。严格遵照《中华人民共和国招标投标法》《工程建设招投标管理办法》以及集团《限额以下项目招标管理办法》进行招标管理工作。并要求集团各部室和下属各单位在后续的项目中督促设计单位做好前期勘察与调研，细化设计方案及设计深度，并加强对施工过程中的监管最大程度减少设计变更。</w:t>
      </w:r>
    </w:p>
    <w:p>
      <w:pPr>
        <w:numPr>
          <w:ilvl w:val="0"/>
          <w:numId w:val="0"/>
        </w:numPr>
        <w:ind w:firstLine="641"/>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四十一、关于2021年，市审计局对开源公司、污水公司指出的“管理制度不够健全，工程管理不到位，未按合同约定开竣（完）工，已完工项目未及时完成工程价款结算审核”问题仍然存在问题的整改情况</w:t>
      </w:r>
    </w:p>
    <w:p>
      <w:pPr>
        <w:numPr>
          <w:ilvl w:val="0"/>
          <w:numId w:val="0"/>
        </w:numPr>
        <w:ind w:firstLine="643"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全面加强对2021年审计反馈问题的整改。</w:t>
      </w:r>
      <w:r>
        <w:rPr>
          <w:rFonts w:hint="eastAsia" w:ascii="仿宋_GB2312" w:hAnsi="仿宋_GB2312" w:eastAsia="仿宋_GB2312" w:cs="仿宋_GB2312"/>
          <w:b w:val="0"/>
          <w:bCs w:val="0"/>
          <w:sz w:val="32"/>
          <w:szCs w:val="32"/>
          <w:lang w:val="en-US" w:eastAsia="zh-CN"/>
        </w:rPr>
        <w:t>进一步加强对下属单位在工程管理建设、内部管控上的管理和指导，举一反三，认真研究长期行之有效的解决办法。在工程招标时，严格按照浙建〔2020〕7号文件规定设置质量保证金；已退还质保金超出比例部分；加大工程管理力度，强化内部监督，不定期开展专项检查，确保相关制度执行得到严格落实，施工进度稳步推进。对于目前尚未完工的项目，加强施工组织设计，倒排工程计划，加快推进项目实施进度，确保项目尽快完工；梳理完工未结算工程，项目业主积极牵头做好结算工作，对个别施工单位未及时提交结算审核资料的，加强和施工单位进行对接，要求及时提交，必要时发函进行督促。</w:t>
      </w:r>
    </w:p>
    <w:p>
      <w:pPr>
        <w:numPr>
          <w:ilvl w:val="0"/>
          <w:numId w:val="0"/>
        </w:numPr>
        <w:ind w:firstLine="641"/>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下一步，市水务集团党委将深入贯彻习近平新时代中国特色社会主义思想，深化整改落实，进一步巩固整改成果，以巡察整改成效促进各项事业持续健康发展。一是深入推进整改，以咬定青山不放松的态度抓整改，对能够及时解决的问题迅速改、立马改，在规定的整改期限内干净利落整改到位；对成因复杂、涉及面广需要一定时间整改的问题，迎难而上，主动限期破解。二是健全制度机制，针对巡察反馈的问题，深挖问题根源，找出集团在体制机制上存在的漏洞和薄弱环节，进一步健全重点领域、关键环节的制度，形成规范、现代、有序的企业制度体系，从而形成绿色健康的发展态势和风清气正的良好政治生态。三是强化成果转化，把巩固整改落实成果与促改革发展结合起来，与水务中心工作的落实结合起来，积极把巡察整改成果转化为水务高质量发展的强大动力，落实市委市政府“实干争先·马上就办”要求，为我市建设高水平现代海洋城市贡献水务力量。</w:t>
      </w:r>
    </w:p>
    <w:p>
      <w:pPr>
        <w:numPr>
          <w:ilvl w:val="0"/>
          <w:numId w:val="0"/>
        </w:numPr>
        <w:ind w:firstLine="641"/>
        <w:rPr>
          <w:rFonts w:hint="eastAsia" w:ascii="仿宋_GB2312" w:hAnsi="仿宋_GB2312" w:eastAsia="仿宋_GB2312" w:cs="仿宋_GB2312"/>
          <w:b w:val="0"/>
          <w:bCs w:val="0"/>
          <w:color w:val="auto"/>
          <w:sz w:val="32"/>
          <w:szCs w:val="32"/>
          <w:u w:val="none"/>
          <w:lang w:val="en-US" w:eastAsia="zh-CN"/>
        </w:rPr>
      </w:pPr>
      <w:r>
        <w:rPr>
          <w:rFonts w:hint="eastAsia" w:ascii="仿宋_GB2312" w:hAnsi="仿宋_GB2312" w:eastAsia="仿宋_GB2312" w:cs="仿宋_GB2312"/>
          <w:b w:val="0"/>
          <w:bCs w:val="0"/>
          <w:sz w:val="32"/>
          <w:szCs w:val="32"/>
          <w:lang w:val="en-US" w:eastAsia="zh-CN"/>
        </w:rPr>
        <w:t>欢迎广大干部群众对巡察整改落实情况进行监督。如有意见建议，请及时向我们反映。联系方式：0580-2282881；邮政信箱：舟山市定海区临城街道临长路30号水务大厦（316021）；电子邮</w:t>
      </w:r>
      <w:r>
        <w:rPr>
          <w:rFonts w:hint="eastAsia" w:ascii="仿宋_GB2312" w:hAnsi="仿宋_GB2312" w:eastAsia="仿宋_GB2312" w:cs="仿宋_GB2312"/>
          <w:b w:val="0"/>
          <w:bCs w:val="0"/>
          <w:color w:val="auto"/>
          <w:sz w:val="32"/>
          <w:szCs w:val="32"/>
          <w:u w:val="none"/>
          <w:lang w:val="en-US" w:eastAsia="zh-CN"/>
        </w:rPr>
        <w:t>箱：</w:t>
      </w:r>
      <w:r>
        <w:rPr>
          <w:rFonts w:hint="eastAsia" w:ascii="仿宋_GB2312" w:hAnsi="仿宋_GB2312" w:eastAsia="仿宋_GB2312" w:cs="仿宋_GB2312"/>
          <w:b w:val="0"/>
          <w:bCs w:val="0"/>
          <w:color w:val="auto"/>
          <w:sz w:val="32"/>
          <w:szCs w:val="32"/>
          <w:u w:val="none"/>
          <w:lang w:val="en-US" w:eastAsia="zh-CN"/>
        </w:rPr>
        <w:fldChar w:fldCharType="begin"/>
      </w:r>
      <w:r>
        <w:rPr>
          <w:rFonts w:hint="eastAsia" w:ascii="仿宋_GB2312" w:hAnsi="仿宋_GB2312" w:eastAsia="仿宋_GB2312" w:cs="仿宋_GB2312"/>
          <w:b w:val="0"/>
          <w:bCs w:val="0"/>
          <w:color w:val="auto"/>
          <w:sz w:val="32"/>
          <w:szCs w:val="32"/>
          <w:u w:val="none"/>
          <w:lang w:val="en-US" w:eastAsia="zh-CN"/>
        </w:rPr>
        <w:instrText xml:space="preserve"> HYPERLINK "mailto:1014310552@qq.com。" </w:instrText>
      </w:r>
      <w:r>
        <w:rPr>
          <w:rFonts w:hint="eastAsia" w:ascii="仿宋_GB2312" w:hAnsi="仿宋_GB2312" w:eastAsia="仿宋_GB2312" w:cs="仿宋_GB2312"/>
          <w:b w:val="0"/>
          <w:bCs w:val="0"/>
          <w:color w:val="auto"/>
          <w:sz w:val="32"/>
          <w:szCs w:val="32"/>
          <w:u w:val="none"/>
          <w:lang w:val="en-US" w:eastAsia="zh-CN"/>
        </w:rPr>
        <w:fldChar w:fldCharType="separate"/>
      </w:r>
      <w:r>
        <w:rPr>
          <w:rStyle w:val="6"/>
          <w:rFonts w:hint="eastAsia" w:ascii="仿宋_GB2312" w:hAnsi="仿宋_GB2312" w:eastAsia="仿宋_GB2312" w:cs="仿宋_GB2312"/>
          <w:b w:val="0"/>
          <w:bCs w:val="0"/>
          <w:color w:val="auto"/>
          <w:sz w:val="32"/>
          <w:szCs w:val="32"/>
          <w:u w:val="none"/>
          <w:lang w:val="en-US" w:eastAsia="zh-CN"/>
        </w:rPr>
        <w:t>1014310552@qq.com。</w:t>
      </w:r>
      <w:r>
        <w:rPr>
          <w:rFonts w:hint="eastAsia" w:ascii="仿宋_GB2312" w:hAnsi="仿宋_GB2312" w:eastAsia="仿宋_GB2312" w:cs="仿宋_GB2312"/>
          <w:b w:val="0"/>
          <w:bCs w:val="0"/>
          <w:color w:val="auto"/>
          <w:sz w:val="32"/>
          <w:szCs w:val="32"/>
          <w:u w:val="none"/>
          <w:lang w:val="en-US" w:eastAsia="zh-CN"/>
        </w:rPr>
        <w:fldChar w:fldCharType="end"/>
      </w:r>
    </w:p>
    <w:p>
      <w:pPr>
        <w:numPr>
          <w:ilvl w:val="0"/>
          <w:numId w:val="0"/>
        </w:numPr>
        <w:ind w:firstLine="641"/>
        <w:rPr>
          <w:rFonts w:hint="eastAsia" w:ascii="仿宋_GB2312" w:hAnsi="仿宋_GB2312" w:eastAsia="仿宋_GB2312" w:cs="仿宋_GB2312"/>
          <w:b w:val="0"/>
          <w:bCs w:val="0"/>
          <w:sz w:val="32"/>
          <w:szCs w:val="32"/>
          <w:lang w:val="en-US" w:eastAsia="zh-CN"/>
        </w:rPr>
      </w:pPr>
    </w:p>
    <w:p>
      <w:pPr>
        <w:numPr>
          <w:ilvl w:val="0"/>
          <w:numId w:val="0"/>
        </w:numPr>
        <w:ind w:firstLine="641"/>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中共舟山市水务集团有限公司委员会</w:t>
      </w:r>
    </w:p>
    <w:p>
      <w:pPr>
        <w:numPr>
          <w:ilvl w:val="0"/>
          <w:numId w:val="0"/>
        </w:numPr>
        <w:ind w:firstLine="641"/>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2024年1月31日</w:t>
      </w:r>
    </w:p>
    <w:sectPr>
      <w:footerReference r:id="rId3" w:type="default"/>
      <w:pgSz w:w="11906" w:h="16838"/>
      <w:pgMar w:top="1417" w:right="1417" w:bottom="1417" w:left="141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decorative"/>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3701A30-8B86-4926-B68E-9C2C4146F1E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669C7C9F-F9B5-4748-942D-3B53C27E748F}"/>
  </w:font>
  <w:font w:name="方正小标宋简体">
    <w:panose1 w:val="03000509000000000000"/>
    <w:charset w:val="86"/>
    <w:family w:val="auto"/>
    <w:pitch w:val="default"/>
    <w:sig w:usb0="00000001" w:usb1="080E0000" w:usb2="00000000" w:usb3="00000000" w:csb0="00040000" w:csb1="00000000"/>
    <w:embedRegular r:id="rId3" w:fontKey="{EF435C79-C678-493B-A3F6-FD88D9D2E9F0}"/>
  </w:font>
  <w:font w:name="仿宋_GB2312">
    <w:panose1 w:val="02010609030101010101"/>
    <w:charset w:val="86"/>
    <w:family w:val="auto"/>
    <w:pitch w:val="default"/>
    <w:sig w:usb0="00000001" w:usb1="080E0000" w:usb2="00000000" w:usb3="00000000" w:csb0="00040000" w:csb1="00000000"/>
    <w:embedRegular r:id="rId4" w:fontKey="{684D143B-561D-4C4F-89F7-9F3EA5A3E42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rPr>
                              <w:rFonts w:hint="default" w:ascii="Times New Roman" w:hAnsi="Times New Roman" w:cs="Times New Roman"/>
                              <w:sz w:val="21"/>
                              <w:szCs w:val="21"/>
                            </w:rPr>
                            <w:t xml:space="preserve">— </w:t>
                          </w: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PAGE  \* MERGEFORMAT </w:instrText>
                          </w:r>
                          <w:r>
                            <w:rPr>
                              <w:rFonts w:hint="default" w:ascii="Times New Roman" w:hAnsi="Times New Roman" w:cs="Times New Roman"/>
                              <w:sz w:val="21"/>
                              <w:szCs w:val="21"/>
                            </w:rPr>
                            <w:fldChar w:fldCharType="separate"/>
                          </w:r>
                          <w:r>
                            <w:rPr>
                              <w:rFonts w:hint="default" w:ascii="Times New Roman" w:hAnsi="Times New Roman" w:cs="Times New Roman"/>
                              <w:sz w:val="21"/>
                              <w:szCs w:val="21"/>
                            </w:rPr>
                            <w:t>1</w:t>
                          </w:r>
                          <w:r>
                            <w:rPr>
                              <w:rFonts w:hint="default" w:ascii="Times New Roman" w:hAnsi="Times New Roman" w:cs="Times New Roman"/>
                              <w:sz w:val="21"/>
                              <w:szCs w:val="21"/>
                            </w:rPr>
                            <w:fldChar w:fldCharType="end"/>
                          </w:r>
                          <w:r>
                            <w:rPr>
                              <w:rFonts w:hint="default" w:ascii="Times New Roman" w:hAnsi="Times New Roman" w:cs="Times New Roman"/>
                              <w:sz w:val="21"/>
                              <w:szCs w:val="21"/>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rPr>
                        <w:rFonts w:hint="default" w:ascii="Times New Roman" w:hAnsi="Times New Roman" w:cs="Times New Roman"/>
                        <w:sz w:val="21"/>
                        <w:szCs w:val="21"/>
                      </w:rPr>
                      <w:t xml:space="preserve">— </w:t>
                    </w: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PAGE  \* MERGEFORMAT </w:instrText>
                    </w:r>
                    <w:r>
                      <w:rPr>
                        <w:rFonts w:hint="default" w:ascii="Times New Roman" w:hAnsi="Times New Roman" w:cs="Times New Roman"/>
                        <w:sz w:val="21"/>
                        <w:szCs w:val="21"/>
                      </w:rPr>
                      <w:fldChar w:fldCharType="separate"/>
                    </w:r>
                    <w:r>
                      <w:rPr>
                        <w:rFonts w:hint="default" w:ascii="Times New Roman" w:hAnsi="Times New Roman" w:cs="Times New Roman"/>
                        <w:sz w:val="21"/>
                        <w:szCs w:val="21"/>
                      </w:rPr>
                      <w:t>1</w:t>
                    </w:r>
                    <w:r>
                      <w:rPr>
                        <w:rFonts w:hint="default" w:ascii="Times New Roman" w:hAnsi="Times New Roman" w:cs="Times New Roman"/>
                        <w:sz w:val="21"/>
                        <w:szCs w:val="21"/>
                      </w:rPr>
                      <w:fldChar w:fldCharType="end"/>
                    </w:r>
                    <w:r>
                      <w:rPr>
                        <w:rFonts w:hint="default" w:ascii="Times New Roman" w:hAnsi="Times New Roman" w:cs="Times New Roman"/>
                        <w:sz w:val="21"/>
                        <w:szCs w:val="21"/>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043DE4"/>
    <w:multiLevelType w:val="singleLevel"/>
    <w:tmpl w:val="86043DE4"/>
    <w:lvl w:ilvl="0" w:tentative="0">
      <w:start w:val="18"/>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JhYzhmNDBkYmMxMGRiZjE0NDViM2JmODliNTQ2MTYifQ=="/>
  </w:docVars>
  <w:rsids>
    <w:rsidRoot w:val="0C325ED7"/>
    <w:rsid w:val="00066EBC"/>
    <w:rsid w:val="000A25F9"/>
    <w:rsid w:val="000B44D3"/>
    <w:rsid w:val="007200AE"/>
    <w:rsid w:val="007E4CA5"/>
    <w:rsid w:val="01EC5C3E"/>
    <w:rsid w:val="02963594"/>
    <w:rsid w:val="029702A0"/>
    <w:rsid w:val="02BA2AE1"/>
    <w:rsid w:val="034C03A1"/>
    <w:rsid w:val="038F0F77"/>
    <w:rsid w:val="03C07382"/>
    <w:rsid w:val="03C767E3"/>
    <w:rsid w:val="03D80B70"/>
    <w:rsid w:val="040974BD"/>
    <w:rsid w:val="040A2CF3"/>
    <w:rsid w:val="044C0C16"/>
    <w:rsid w:val="04564DE0"/>
    <w:rsid w:val="05455E06"/>
    <w:rsid w:val="05980C23"/>
    <w:rsid w:val="060C68AF"/>
    <w:rsid w:val="064E658A"/>
    <w:rsid w:val="06EB0BBA"/>
    <w:rsid w:val="077834E2"/>
    <w:rsid w:val="079A380F"/>
    <w:rsid w:val="08B66FA6"/>
    <w:rsid w:val="09030618"/>
    <w:rsid w:val="090655BA"/>
    <w:rsid w:val="091268D2"/>
    <w:rsid w:val="095B576A"/>
    <w:rsid w:val="0A0C3321"/>
    <w:rsid w:val="0A2A37A7"/>
    <w:rsid w:val="0A3208AE"/>
    <w:rsid w:val="0AA3355A"/>
    <w:rsid w:val="0ADD6A6C"/>
    <w:rsid w:val="0B2C354F"/>
    <w:rsid w:val="0B61144B"/>
    <w:rsid w:val="0BDA74C1"/>
    <w:rsid w:val="0BE140E0"/>
    <w:rsid w:val="0C325ED7"/>
    <w:rsid w:val="0C917B0E"/>
    <w:rsid w:val="0CA912FB"/>
    <w:rsid w:val="0D126C87"/>
    <w:rsid w:val="0D335069"/>
    <w:rsid w:val="0D5A3220"/>
    <w:rsid w:val="0D607FC1"/>
    <w:rsid w:val="0DAB10A3"/>
    <w:rsid w:val="0DAB2E51"/>
    <w:rsid w:val="0DB02216"/>
    <w:rsid w:val="0DDA7292"/>
    <w:rsid w:val="0E100F06"/>
    <w:rsid w:val="0E252179"/>
    <w:rsid w:val="0E417312"/>
    <w:rsid w:val="0E574D87"/>
    <w:rsid w:val="0EAB140B"/>
    <w:rsid w:val="0ED10695"/>
    <w:rsid w:val="0F3375A2"/>
    <w:rsid w:val="0F76123D"/>
    <w:rsid w:val="0F825E34"/>
    <w:rsid w:val="0FA67D74"/>
    <w:rsid w:val="0FED59A3"/>
    <w:rsid w:val="0FFB63F9"/>
    <w:rsid w:val="108F25B6"/>
    <w:rsid w:val="10A1053B"/>
    <w:rsid w:val="10D25943"/>
    <w:rsid w:val="110A60E1"/>
    <w:rsid w:val="111D5BA4"/>
    <w:rsid w:val="11767F6C"/>
    <w:rsid w:val="11D230A2"/>
    <w:rsid w:val="121A67F7"/>
    <w:rsid w:val="12546E9E"/>
    <w:rsid w:val="12597320"/>
    <w:rsid w:val="12AA50F8"/>
    <w:rsid w:val="13710699"/>
    <w:rsid w:val="13743CE5"/>
    <w:rsid w:val="138D1FF4"/>
    <w:rsid w:val="14306C38"/>
    <w:rsid w:val="146F2E2A"/>
    <w:rsid w:val="14BE16BC"/>
    <w:rsid w:val="14DC5FE6"/>
    <w:rsid w:val="14E66C05"/>
    <w:rsid w:val="15056609"/>
    <w:rsid w:val="15526924"/>
    <w:rsid w:val="156423D0"/>
    <w:rsid w:val="15712BD2"/>
    <w:rsid w:val="15AC59B8"/>
    <w:rsid w:val="161B0A6D"/>
    <w:rsid w:val="16314110"/>
    <w:rsid w:val="16471782"/>
    <w:rsid w:val="16691AFB"/>
    <w:rsid w:val="16C3120C"/>
    <w:rsid w:val="16ED396B"/>
    <w:rsid w:val="16F94C2D"/>
    <w:rsid w:val="17045380"/>
    <w:rsid w:val="17141A67"/>
    <w:rsid w:val="17AA1FC5"/>
    <w:rsid w:val="17BE19D3"/>
    <w:rsid w:val="17F51899"/>
    <w:rsid w:val="18027B12"/>
    <w:rsid w:val="18095344"/>
    <w:rsid w:val="1881137E"/>
    <w:rsid w:val="18BC23B6"/>
    <w:rsid w:val="192D5062"/>
    <w:rsid w:val="19622F5E"/>
    <w:rsid w:val="19646AC5"/>
    <w:rsid w:val="1A1E49AB"/>
    <w:rsid w:val="1A3F79D3"/>
    <w:rsid w:val="1A46462D"/>
    <w:rsid w:val="1AAA529F"/>
    <w:rsid w:val="1AF57E02"/>
    <w:rsid w:val="1B0E650E"/>
    <w:rsid w:val="1BD712B5"/>
    <w:rsid w:val="1C525863"/>
    <w:rsid w:val="1CC04712"/>
    <w:rsid w:val="1CDF5485"/>
    <w:rsid w:val="1D4D20DA"/>
    <w:rsid w:val="1D6D3C7F"/>
    <w:rsid w:val="1D913BB8"/>
    <w:rsid w:val="1DDA224B"/>
    <w:rsid w:val="1F206FB1"/>
    <w:rsid w:val="1F573284"/>
    <w:rsid w:val="1F7A08D5"/>
    <w:rsid w:val="20360BFD"/>
    <w:rsid w:val="20417810"/>
    <w:rsid w:val="20880DD0"/>
    <w:rsid w:val="211D59BC"/>
    <w:rsid w:val="215A6C10"/>
    <w:rsid w:val="219307A4"/>
    <w:rsid w:val="21AE2216"/>
    <w:rsid w:val="21F33730"/>
    <w:rsid w:val="21F901D7"/>
    <w:rsid w:val="21F93D33"/>
    <w:rsid w:val="21FA5CFD"/>
    <w:rsid w:val="22244B28"/>
    <w:rsid w:val="23003F68"/>
    <w:rsid w:val="231150AD"/>
    <w:rsid w:val="23180CEC"/>
    <w:rsid w:val="23812232"/>
    <w:rsid w:val="239C6DCA"/>
    <w:rsid w:val="243C0FC0"/>
    <w:rsid w:val="2513335E"/>
    <w:rsid w:val="25B3069D"/>
    <w:rsid w:val="25F767DC"/>
    <w:rsid w:val="26CD39E1"/>
    <w:rsid w:val="26D0702D"/>
    <w:rsid w:val="275403A4"/>
    <w:rsid w:val="27CE7A10"/>
    <w:rsid w:val="285C326E"/>
    <w:rsid w:val="28AF15F0"/>
    <w:rsid w:val="28B534BB"/>
    <w:rsid w:val="28C62208"/>
    <w:rsid w:val="292A2924"/>
    <w:rsid w:val="296E1870"/>
    <w:rsid w:val="297D6742"/>
    <w:rsid w:val="29CB06AB"/>
    <w:rsid w:val="2A2B5331"/>
    <w:rsid w:val="2A8B3997"/>
    <w:rsid w:val="2A8B69DB"/>
    <w:rsid w:val="2ABC1DA2"/>
    <w:rsid w:val="2B4D3342"/>
    <w:rsid w:val="2B597F39"/>
    <w:rsid w:val="2B844FB6"/>
    <w:rsid w:val="2BBC70F1"/>
    <w:rsid w:val="2C002162"/>
    <w:rsid w:val="2D351705"/>
    <w:rsid w:val="2D6D1A79"/>
    <w:rsid w:val="2DAA3B1E"/>
    <w:rsid w:val="2DDD275B"/>
    <w:rsid w:val="2E0E6DB8"/>
    <w:rsid w:val="2E3F651B"/>
    <w:rsid w:val="2E50438C"/>
    <w:rsid w:val="2E9A0AEC"/>
    <w:rsid w:val="2EFC4E63"/>
    <w:rsid w:val="2F1740A0"/>
    <w:rsid w:val="2F3960B7"/>
    <w:rsid w:val="2F911649"/>
    <w:rsid w:val="2FA01C92"/>
    <w:rsid w:val="30173F69"/>
    <w:rsid w:val="30657693"/>
    <w:rsid w:val="307C26FF"/>
    <w:rsid w:val="30BF25EC"/>
    <w:rsid w:val="30EB1633"/>
    <w:rsid w:val="3148438F"/>
    <w:rsid w:val="31A077D6"/>
    <w:rsid w:val="321E3342"/>
    <w:rsid w:val="32C75788"/>
    <w:rsid w:val="32EE71B8"/>
    <w:rsid w:val="33353039"/>
    <w:rsid w:val="33872BA2"/>
    <w:rsid w:val="34572B3B"/>
    <w:rsid w:val="34767332"/>
    <w:rsid w:val="352C0058"/>
    <w:rsid w:val="3552077E"/>
    <w:rsid w:val="355C665B"/>
    <w:rsid w:val="35643762"/>
    <w:rsid w:val="356D79F9"/>
    <w:rsid w:val="35714F81"/>
    <w:rsid w:val="35EA388B"/>
    <w:rsid w:val="364517E5"/>
    <w:rsid w:val="366A124C"/>
    <w:rsid w:val="36806379"/>
    <w:rsid w:val="36A52284"/>
    <w:rsid w:val="36B9188B"/>
    <w:rsid w:val="375325B8"/>
    <w:rsid w:val="375872F6"/>
    <w:rsid w:val="37CB7AC8"/>
    <w:rsid w:val="38EC77CA"/>
    <w:rsid w:val="392806B2"/>
    <w:rsid w:val="392F36D0"/>
    <w:rsid w:val="39361185"/>
    <w:rsid w:val="393A502B"/>
    <w:rsid w:val="39736669"/>
    <w:rsid w:val="398C1968"/>
    <w:rsid w:val="39C3501F"/>
    <w:rsid w:val="3A3C0C66"/>
    <w:rsid w:val="3A7D77A0"/>
    <w:rsid w:val="3A824DB6"/>
    <w:rsid w:val="3A86417A"/>
    <w:rsid w:val="3A866882"/>
    <w:rsid w:val="3A886145"/>
    <w:rsid w:val="3AC0768C"/>
    <w:rsid w:val="3AEC66D3"/>
    <w:rsid w:val="3B194FEF"/>
    <w:rsid w:val="3BDC6748"/>
    <w:rsid w:val="3CA56B3A"/>
    <w:rsid w:val="3CD94A35"/>
    <w:rsid w:val="3D115F7D"/>
    <w:rsid w:val="3D202664"/>
    <w:rsid w:val="3D4F2F4A"/>
    <w:rsid w:val="3D652F61"/>
    <w:rsid w:val="3D994D96"/>
    <w:rsid w:val="3DFC4E7F"/>
    <w:rsid w:val="3E930E6B"/>
    <w:rsid w:val="3F0C10F2"/>
    <w:rsid w:val="3F3D74FE"/>
    <w:rsid w:val="3FA532F5"/>
    <w:rsid w:val="3FD15B9E"/>
    <w:rsid w:val="40436D6F"/>
    <w:rsid w:val="40D043A1"/>
    <w:rsid w:val="40D130AF"/>
    <w:rsid w:val="41F45E6E"/>
    <w:rsid w:val="42E87780"/>
    <w:rsid w:val="43282273"/>
    <w:rsid w:val="432C1A71"/>
    <w:rsid w:val="433F1693"/>
    <w:rsid w:val="43542888"/>
    <w:rsid w:val="436B3441"/>
    <w:rsid w:val="438C585C"/>
    <w:rsid w:val="43A0005B"/>
    <w:rsid w:val="43E066A9"/>
    <w:rsid w:val="44D0671E"/>
    <w:rsid w:val="44D677B2"/>
    <w:rsid w:val="45D978A7"/>
    <w:rsid w:val="45E05087"/>
    <w:rsid w:val="46360D01"/>
    <w:rsid w:val="466E4440"/>
    <w:rsid w:val="46CB3641"/>
    <w:rsid w:val="46CE1383"/>
    <w:rsid w:val="46F34946"/>
    <w:rsid w:val="46F63A5F"/>
    <w:rsid w:val="47460846"/>
    <w:rsid w:val="476027DB"/>
    <w:rsid w:val="47941C85"/>
    <w:rsid w:val="47B37163"/>
    <w:rsid w:val="47D429C9"/>
    <w:rsid w:val="48241EBA"/>
    <w:rsid w:val="484E4529"/>
    <w:rsid w:val="48912668"/>
    <w:rsid w:val="48AE6D76"/>
    <w:rsid w:val="48BD16AF"/>
    <w:rsid w:val="48D0556D"/>
    <w:rsid w:val="48E44B6E"/>
    <w:rsid w:val="48FD385A"/>
    <w:rsid w:val="491F5EC6"/>
    <w:rsid w:val="493565AE"/>
    <w:rsid w:val="497203D3"/>
    <w:rsid w:val="49830203"/>
    <w:rsid w:val="49880529"/>
    <w:rsid w:val="49CF51F6"/>
    <w:rsid w:val="4A190B67"/>
    <w:rsid w:val="4A38723F"/>
    <w:rsid w:val="4A443E36"/>
    <w:rsid w:val="4A762351"/>
    <w:rsid w:val="4A9138C5"/>
    <w:rsid w:val="4B0B6702"/>
    <w:rsid w:val="4B1B088D"/>
    <w:rsid w:val="4BC13264"/>
    <w:rsid w:val="4BFA22D2"/>
    <w:rsid w:val="4C5424D5"/>
    <w:rsid w:val="4CDF7E46"/>
    <w:rsid w:val="4D5F2D35"/>
    <w:rsid w:val="4D616AAD"/>
    <w:rsid w:val="4DA4699A"/>
    <w:rsid w:val="4DCB0D21"/>
    <w:rsid w:val="4E1B32C4"/>
    <w:rsid w:val="4E7D7917"/>
    <w:rsid w:val="4E8E7DF6"/>
    <w:rsid w:val="4EA84268"/>
    <w:rsid w:val="4EB91DBD"/>
    <w:rsid w:val="4F0C2A48"/>
    <w:rsid w:val="4F38383D"/>
    <w:rsid w:val="4F552641"/>
    <w:rsid w:val="4F7E64C7"/>
    <w:rsid w:val="4F806F93"/>
    <w:rsid w:val="4F820F5D"/>
    <w:rsid w:val="4F8F3D90"/>
    <w:rsid w:val="4FA669F9"/>
    <w:rsid w:val="4FA71C96"/>
    <w:rsid w:val="504F6567"/>
    <w:rsid w:val="505C628C"/>
    <w:rsid w:val="505E1082"/>
    <w:rsid w:val="50AF18DD"/>
    <w:rsid w:val="515626A1"/>
    <w:rsid w:val="5183436E"/>
    <w:rsid w:val="52972161"/>
    <w:rsid w:val="52977FEF"/>
    <w:rsid w:val="52CD0741"/>
    <w:rsid w:val="52DC2732"/>
    <w:rsid w:val="530854A6"/>
    <w:rsid w:val="533904F5"/>
    <w:rsid w:val="53510B61"/>
    <w:rsid w:val="53CE3292"/>
    <w:rsid w:val="54065CB8"/>
    <w:rsid w:val="54120B01"/>
    <w:rsid w:val="542D4C79"/>
    <w:rsid w:val="546C460E"/>
    <w:rsid w:val="55823A64"/>
    <w:rsid w:val="55982094"/>
    <w:rsid w:val="55983288"/>
    <w:rsid w:val="55C947BB"/>
    <w:rsid w:val="55E860FF"/>
    <w:rsid w:val="560F5099"/>
    <w:rsid w:val="56220DA3"/>
    <w:rsid w:val="566025B8"/>
    <w:rsid w:val="566C201F"/>
    <w:rsid w:val="57250B4B"/>
    <w:rsid w:val="58BC1581"/>
    <w:rsid w:val="58E360A6"/>
    <w:rsid w:val="595079D6"/>
    <w:rsid w:val="5975743C"/>
    <w:rsid w:val="599B41EE"/>
    <w:rsid w:val="59B251D6"/>
    <w:rsid w:val="59B461B6"/>
    <w:rsid w:val="59C363FA"/>
    <w:rsid w:val="5A081CC5"/>
    <w:rsid w:val="5A4A08C9"/>
    <w:rsid w:val="5A686BCC"/>
    <w:rsid w:val="5A7140A7"/>
    <w:rsid w:val="5AB26B9A"/>
    <w:rsid w:val="5AB67D0C"/>
    <w:rsid w:val="5B631C42"/>
    <w:rsid w:val="5B6836FC"/>
    <w:rsid w:val="5B9B7093"/>
    <w:rsid w:val="5C14118E"/>
    <w:rsid w:val="5C4E4408"/>
    <w:rsid w:val="5C7D20F2"/>
    <w:rsid w:val="5C8D5DD2"/>
    <w:rsid w:val="5CEB1EEF"/>
    <w:rsid w:val="5E0409C3"/>
    <w:rsid w:val="5E1C432A"/>
    <w:rsid w:val="5ED846F5"/>
    <w:rsid w:val="5F0E45BB"/>
    <w:rsid w:val="5F303E5F"/>
    <w:rsid w:val="5F904FD0"/>
    <w:rsid w:val="5FE26067"/>
    <w:rsid w:val="6005151A"/>
    <w:rsid w:val="60213E7A"/>
    <w:rsid w:val="60271F21"/>
    <w:rsid w:val="60716BAF"/>
    <w:rsid w:val="61616C24"/>
    <w:rsid w:val="61970898"/>
    <w:rsid w:val="61EB7842"/>
    <w:rsid w:val="61F96E5C"/>
    <w:rsid w:val="62035F2D"/>
    <w:rsid w:val="622A5268"/>
    <w:rsid w:val="622D6B06"/>
    <w:rsid w:val="62832BCA"/>
    <w:rsid w:val="62B91972"/>
    <w:rsid w:val="62E93375"/>
    <w:rsid w:val="6372336A"/>
    <w:rsid w:val="637A221F"/>
    <w:rsid w:val="64620DB4"/>
    <w:rsid w:val="647153D0"/>
    <w:rsid w:val="649B1FDE"/>
    <w:rsid w:val="6502071E"/>
    <w:rsid w:val="654A5C21"/>
    <w:rsid w:val="65C94D98"/>
    <w:rsid w:val="65FF6A0B"/>
    <w:rsid w:val="66012289"/>
    <w:rsid w:val="660D2ED6"/>
    <w:rsid w:val="66CA0DC7"/>
    <w:rsid w:val="674E0FD2"/>
    <w:rsid w:val="675114E9"/>
    <w:rsid w:val="68420E31"/>
    <w:rsid w:val="68442DFB"/>
    <w:rsid w:val="684455E9"/>
    <w:rsid w:val="690505C0"/>
    <w:rsid w:val="6929357A"/>
    <w:rsid w:val="695B21AB"/>
    <w:rsid w:val="69A91168"/>
    <w:rsid w:val="69AE677E"/>
    <w:rsid w:val="6A4964A7"/>
    <w:rsid w:val="6A7F636D"/>
    <w:rsid w:val="6AD21B9D"/>
    <w:rsid w:val="6AE15E05"/>
    <w:rsid w:val="6B745AAB"/>
    <w:rsid w:val="6B797260"/>
    <w:rsid w:val="6C150D37"/>
    <w:rsid w:val="6C3A079D"/>
    <w:rsid w:val="6C71223F"/>
    <w:rsid w:val="6D0D30B8"/>
    <w:rsid w:val="6D1014FE"/>
    <w:rsid w:val="6D832F14"/>
    <w:rsid w:val="6DA81C07"/>
    <w:rsid w:val="6DD12A7B"/>
    <w:rsid w:val="6E0E0C26"/>
    <w:rsid w:val="6E1A0886"/>
    <w:rsid w:val="6E210C6D"/>
    <w:rsid w:val="6E4A0A40"/>
    <w:rsid w:val="6E663ACB"/>
    <w:rsid w:val="6F0C1C24"/>
    <w:rsid w:val="6F255735"/>
    <w:rsid w:val="6F2968A7"/>
    <w:rsid w:val="6F984159"/>
    <w:rsid w:val="6FA81EC2"/>
    <w:rsid w:val="70270006"/>
    <w:rsid w:val="702C5727"/>
    <w:rsid w:val="70433998"/>
    <w:rsid w:val="70BA00FF"/>
    <w:rsid w:val="70F818AE"/>
    <w:rsid w:val="71033854"/>
    <w:rsid w:val="72646574"/>
    <w:rsid w:val="729E5AAE"/>
    <w:rsid w:val="72A65033"/>
    <w:rsid w:val="72BF7C4E"/>
    <w:rsid w:val="72E01973"/>
    <w:rsid w:val="72E33C63"/>
    <w:rsid w:val="731C0BFD"/>
    <w:rsid w:val="737F73DD"/>
    <w:rsid w:val="7443665D"/>
    <w:rsid w:val="74510D7A"/>
    <w:rsid w:val="7499627D"/>
    <w:rsid w:val="74B44D47"/>
    <w:rsid w:val="74B55D70"/>
    <w:rsid w:val="74CC6652"/>
    <w:rsid w:val="74F160B9"/>
    <w:rsid w:val="75472D0C"/>
    <w:rsid w:val="754E7B0C"/>
    <w:rsid w:val="756D4F59"/>
    <w:rsid w:val="758372B7"/>
    <w:rsid w:val="75E95246"/>
    <w:rsid w:val="75F47C0F"/>
    <w:rsid w:val="75FA74E7"/>
    <w:rsid w:val="76107B3E"/>
    <w:rsid w:val="766308F1"/>
    <w:rsid w:val="7682521B"/>
    <w:rsid w:val="76D95711"/>
    <w:rsid w:val="771A6F63"/>
    <w:rsid w:val="778E7BEF"/>
    <w:rsid w:val="779C3393"/>
    <w:rsid w:val="77C96E79"/>
    <w:rsid w:val="77F75794"/>
    <w:rsid w:val="77FA25DB"/>
    <w:rsid w:val="781026A3"/>
    <w:rsid w:val="78745037"/>
    <w:rsid w:val="788B412F"/>
    <w:rsid w:val="78F817C4"/>
    <w:rsid w:val="79053EE1"/>
    <w:rsid w:val="792627D5"/>
    <w:rsid w:val="792C76C0"/>
    <w:rsid w:val="79836B0A"/>
    <w:rsid w:val="79D044EF"/>
    <w:rsid w:val="79DD40A7"/>
    <w:rsid w:val="7A053727"/>
    <w:rsid w:val="7AB92EC7"/>
    <w:rsid w:val="7AC75850"/>
    <w:rsid w:val="7ACF29F8"/>
    <w:rsid w:val="7AD07CBE"/>
    <w:rsid w:val="7AF75AAB"/>
    <w:rsid w:val="7B1E128A"/>
    <w:rsid w:val="7C6B04FF"/>
    <w:rsid w:val="7C784FC5"/>
    <w:rsid w:val="7CF229CE"/>
    <w:rsid w:val="7D102BF2"/>
    <w:rsid w:val="7D831B72"/>
    <w:rsid w:val="7D9A72EE"/>
    <w:rsid w:val="7DEF565F"/>
    <w:rsid w:val="7E590F57"/>
    <w:rsid w:val="7F0C5FC9"/>
    <w:rsid w:val="7F4514DB"/>
    <w:rsid w:val="7F54171E"/>
    <w:rsid w:val="7F7F2C3F"/>
    <w:rsid w:val="7FE64E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Hyperlink"/>
    <w:basedOn w:val="5"/>
    <w:autoRedefine/>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2024-01-30T09:48:00Z</dcterms:created>
  <dc:creator>Uuuuuuoooo</dc:creator>
  <cp:lastModifiedBy>Uuuuuuoooo</cp:lastModifiedBy>
  <dcterms:modified xsi:type="dcterms:W3CDTF">2024-02-05T01:35:34Z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D18180CD51174AD98B5884645DC0E31C_11</vt:lpwstr>
  </property>
</Properties>
</file>